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eastAsia" w:ascii="方正小标宋简体" w:hAnsi="Times New Roman" w:eastAsia="方正小标宋简体" w:cs="Times New Roman"/>
          <w:b/>
          <w:sz w:val="44"/>
          <w:szCs w:val="32"/>
          <w:lang w:val="en-US" w:eastAsia="zh-CN"/>
        </w:rPr>
      </w:pPr>
      <w:r>
        <w:rPr>
          <w:rFonts w:hint="eastAsia" w:ascii="方正小标宋简体" w:hAnsi="Times New Roman" w:eastAsia="方正小标宋简体"/>
          <w:b/>
          <w:sz w:val="44"/>
          <w:szCs w:val="32"/>
          <w:lang w:eastAsia="zh-CN"/>
        </w:rPr>
        <w:t>四川南充水利电力建筑勘察设计研究院</w:t>
      </w:r>
    </w:p>
    <w:p>
      <w:pPr>
        <w:spacing w:after="315" w:afterLines="100" w:afterAutospacing="0" w:line="240" w:lineRule="auto"/>
        <w:jc w:val="center"/>
        <w:rPr>
          <w:rFonts w:hint="eastAsia" w:ascii="方正小标宋简体" w:hAnsi="Times New Roman" w:eastAsia="方正小标宋简体" w:cs="Times New Roman"/>
          <w:b/>
          <w:sz w:val="44"/>
          <w:szCs w:val="32"/>
          <w:lang w:val="en-US" w:eastAsia="zh-CN"/>
        </w:rPr>
      </w:pPr>
      <w:r>
        <w:rPr>
          <w:rFonts w:hint="eastAsia" w:ascii="方正小标宋简体" w:hAnsi="Times New Roman" w:eastAsia="方正小标宋简体" w:cs="Times New Roman"/>
          <w:b/>
          <w:sz w:val="44"/>
          <w:szCs w:val="32"/>
          <w:lang w:val="en-US" w:eastAsia="zh-CN"/>
        </w:rPr>
        <w:t>关于印发《四川南充水利电力建筑勘察设计研究院预算绩效评价操作规程（试行）》的通知</w:t>
      </w:r>
    </w:p>
    <w:p>
      <w:pPr>
        <w:spacing w:line="240" w:lineRule="auto"/>
        <w:rPr>
          <w:rFonts w:hint="eastAsia" w:ascii="Times New Roman" w:hAnsi="Times New Roman" w:eastAsia="方正仿宋简体"/>
          <w:b/>
          <w:sz w:val="32"/>
          <w:szCs w:val="32"/>
          <w:lang w:val="en-US" w:eastAsia="zh-CN"/>
        </w:rPr>
      </w:pPr>
      <w:r>
        <w:rPr>
          <w:rFonts w:hint="eastAsia" w:ascii="Times New Roman" w:hAnsi="Times New Roman" w:eastAsia="方正仿宋简体"/>
          <w:b/>
          <w:sz w:val="32"/>
          <w:szCs w:val="32"/>
          <w:lang w:val="en-US" w:eastAsia="zh-CN"/>
        </w:rPr>
        <w:t>各科室、队、所：</w:t>
      </w:r>
    </w:p>
    <w:p>
      <w:pPr>
        <w:spacing w:line="240" w:lineRule="auto"/>
        <w:ind w:firstLine="640" w:firstLineChars="200"/>
        <w:rPr>
          <w:rFonts w:hint="eastAsia" w:ascii="Times New Roman" w:hAnsi="Times New Roman" w:eastAsia="方正仿宋简体"/>
          <w:b/>
          <w:sz w:val="32"/>
          <w:szCs w:val="32"/>
        </w:rPr>
      </w:pPr>
      <w:r>
        <w:rPr>
          <w:rFonts w:hint="eastAsia" w:ascii="Times New Roman" w:hAnsi="Times New Roman" w:eastAsia="方正仿宋简体"/>
          <w:b/>
          <w:sz w:val="32"/>
          <w:szCs w:val="32"/>
        </w:rPr>
        <w:t>为全面实施预算绩效管理，提高财政资源配置效率和使用效益，强化支出责任，建立科学、合理的预算绩效评价管理体系，规范、细化绩效评价工作流程，现将《</w:t>
      </w:r>
      <w:r>
        <w:rPr>
          <w:rFonts w:hint="eastAsia" w:ascii="Times New Roman" w:hAnsi="Times New Roman" w:eastAsia="方正仿宋简体"/>
          <w:b/>
          <w:sz w:val="32"/>
          <w:szCs w:val="32"/>
          <w:lang w:eastAsia="zh-CN"/>
        </w:rPr>
        <w:t>四川南充水利电力建筑勘察设计研究院</w:t>
      </w:r>
      <w:r>
        <w:rPr>
          <w:rFonts w:hint="eastAsia" w:ascii="Times New Roman" w:hAnsi="Times New Roman" w:eastAsia="方正仿宋简体"/>
          <w:b/>
          <w:sz w:val="32"/>
          <w:szCs w:val="32"/>
        </w:rPr>
        <w:t>预算绩效评价操作规程（试行）》印发给你们，请遵照执行。</w:t>
      </w:r>
    </w:p>
    <w:p>
      <w:pPr>
        <w:pStyle w:val="5"/>
        <w:keepNext w:val="0"/>
        <w:keepLines w:val="0"/>
        <w:widowControl/>
        <w:suppressLineNumbers w:val="0"/>
        <w:pBdr>
          <w:bottom w:val="none" w:color="auto" w:sz="0" w:space="0"/>
        </w:pBdr>
        <w:spacing w:before="300" w:beforeAutospacing="0" w:after="300" w:afterAutospacing="0" w:line="420" w:lineRule="atLeast"/>
        <w:ind w:left="0" w:right="0" w:firstLine="420"/>
        <w:rPr>
          <w:color w:val="111111"/>
          <w:sz w:val="21"/>
          <w:szCs w:val="21"/>
        </w:rPr>
      </w:pPr>
    </w:p>
    <w:p>
      <w:pPr>
        <w:spacing w:line="240" w:lineRule="auto"/>
        <w:jc w:val="right"/>
        <w:rPr>
          <w:rFonts w:hint="eastAsia" w:ascii="Times New Roman" w:hAnsi="Times New Roman" w:eastAsia="方正仿宋简体"/>
          <w:b/>
          <w:sz w:val="32"/>
          <w:szCs w:val="32"/>
          <w:lang w:eastAsia="zh-CN"/>
        </w:rPr>
      </w:pPr>
      <w:r>
        <w:rPr>
          <w:rFonts w:hint="eastAsia" w:ascii="Times New Roman" w:hAnsi="Times New Roman" w:eastAsia="方正仿宋简体"/>
          <w:b/>
          <w:sz w:val="32"/>
          <w:szCs w:val="32"/>
          <w:lang w:eastAsia="zh-CN"/>
        </w:rPr>
        <w:t>四川南充水利电力建筑勘察设计研究院</w:t>
      </w:r>
    </w:p>
    <w:p>
      <w:pPr>
        <w:pStyle w:val="5"/>
        <w:keepNext w:val="0"/>
        <w:keepLines w:val="0"/>
        <w:widowControl/>
        <w:suppressLineNumbers w:val="0"/>
        <w:pBdr>
          <w:bottom w:val="none" w:color="auto" w:sz="0" w:space="0"/>
        </w:pBdr>
        <w:spacing w:before="300" w:beforeAutospacing="0" w:after="300" w:afterAutospacing="0" w:line="420" w:lineRule="atLeast"/>
        <w:ind w:left="0" w:right="0" w:firstLine="420"/>
        <w:rPr>
          <w:color w:val="111111"/>
          <w:sz w:val="21"/>
          <w:szCs w:val="21"/>
        </w:rPr>
      </w:pPr>
      <w:r>
        <w:rPr>
          <w:rFonts w:ascii="Times New Roman" w:hAnsi="Times New Roman" w:eastAsia="方正仿宋简体"/>
          <w:b/>
          <w:sz w:val="32"/>
          <w:szCs w:val="32"/>
        </w:rPr>
        <w:t xml:space="preserve">　　                       </w:t>
      </w:r>
      <w:r>
        <w:rPr>
          <w:rFonts w:hint="eastAsia" w:ascii="Times New Roman" w:hAnsi="Times New Roman" w:eastAsia="方正仿宋简体"/>
          <w:b/>
          <w:sz w:val="32"/>
          <w:szCs w:val="32"/>
        </w:rPr>
        <w:t xml:space="preserve">     </w:t>
      </w:r>
      <w:r>
        <w:rPr>
          <w:rFonts w:hint="eastAsia" w:ascii="Times New Roman" w:hAnsi="Times New Roman" w:eastAsia="方正仿宋简体"/>
          <w:b/>
          <w:sz w:val="32"/>
          <w:szCs w:val="32"/>
          <w:lang w:val="en-US" w:eastAsia="zh-CN"/>
        </w:rPr>
        <w:t xml:space="preserve"> </w:t>
      </w:r>
      <w:r>
        <w:rPr>
          <w:rFonts w:ascii="Times New Roman" w:hAnsi="Times New Roman" w:eastAsia="方正仿宋简体"/>
          <w:b/>
          <w:sz w:val="32"/>
          <w:szCs w:val="32"/>
        </w:rPr>
        <w:t>2020年</w:t>
      </w:r>
      <w:r>
        <w:rPr>
          <w:rFonts w:hint="eastAsia" w:ascii="Times New Roman" w:hAnsi="Times New Roman" w:eastAsia="方正仿宋简体"/>
          <w:b/>
          <w:sz w:val="32"/>
          <w:szCs w:val="32"/>
          <w:lang w:val="en-US" w:eastAsia="zh-CN"/>
        </w:rPr>
        <w:t>12</w:t>
      </w:r>
      <w:r>
        <w:rPr>
          <w:rFonts w:ascii="Times New Roman" w:hAnsi="Times New Roman" w:eastAsia="方正仿宋简体"/>
          <w:b/>
          <w:sz w:val="32"/>
          <w:szCs w:val="32"/>
        </w:rPr>
        <w:t>月</w:t>
      </w:r>
      <w:r>
        <w:rPr>
          <w:rFonts w:hint="eastAsia" w:ascii="Times New Roman" w:hAnsi="Times New Roman" w:eastAsia="方正仿宋简体"/>
          <w:b/>
          <w:sz w:val="32"/>
          <w:szCs w:val="32"/>
          <w:lang w:val="en-US" w:eastAsia="zh-CN"/>
        </w:rPr>
        <w:t>31</w:t>
      </w:r>
      <w:r>
        <w:rPr>
          <w:rFonts w:ascii="Times New Roman" w:hAnsi="Times New Roman" w:eastAsia="方正仿宋简体"/>
          <w:b/>
          <w:sz w:val="32"/>
          <w:szCs w:val="32"/>
        </w:rPr>
        <w:t>日</w:t>
      </w:r>
    </w:p>
    <w:p>
      <w:pPr>
        <w:pStyle w:val="5"/>
        <w:keepNext w:val="0"/>
        <w:keepLines w:val="0"/>
        <w:widowControl/>
        <w:suppressLineNumbers w:val="0"/>
        <w:pBdr>
          <w:bottom w:val="none" w:color="auto" w:sz="0" w:space="0"/>
        </w:pBdr>
        <w:spacing w:before="300" w:beforeAutospacing="0" w:after="300" w:afterAutospacing="0" w:line="420" w:lineRule="atLeast"/>
        <w:ind w:left="0" w:right="0" w:firstLine="420"/>
        <w:rPr>
          <w:color w:val="111111"/>
          <w:sz w:val="21"/>
          <w:szCs w:val="21"/>
        </w:rPr>
      </w:pPr>
      <w:r>
        <w:rPr>
          <w:rFonts w:hint="eastAsia" w:ascii="宋体" w:hAnsi="宋体" w:eastAsia="宋体" w:cs="宋体"/>
          <w:color w:val="111111"/>
          <w:sz w:val="21"/>
          <w:szCs w:val="21"/>
          <w:u w:val="none"/>
        </w:rPr>
        <w:t>                                     </w:t>
      </w:r>
    </w:p>
    <w:p>
      <w:pPr>
        <w:rPr>
          <w:color w:val="111111"/>
          <w:sz w:val="21"/>
          <w:szCs w:val="21"/>
        </w:rPr>
      </w:pPr>
      <w:r>
        <w:rPr>
          <w:color w:val="111111"/>
          <w:sz w:val="21"/>
          <w:szCs w:val="21"/>
        </w:rPr>
        <w:br w:type="page"/>
      </w:r>
    </w:p>
    <w:p>
      <w:pPr>
        <w:spacing w:line="578" w:lineRule="exact"/>
        <w:jc w:val="center"/>
        <w:rPr>
          <w:rFonts w:hint="eastAsia" w:ascii="方正小标宋简体" w:hAnsi="Calibri" w:eastAsia="方正小标宋简体" w:cs="Times New Roman"/>
          <w:b/>
          <w:sz w:val="44"/>
          <w:szCs w:val="44"/>
          <w:lang w:eastAsia="zh-CN"/>
        </w:rPr>
      </w:pPr>
      <w:r>
        <w:rPr>
          <w:rFonts w:hint="eastAsia" w:ascii="方正小标宋简体" w:hAnsi="Calibri" w:eastAsia="方正小标宋简体" w:cs="Times New Roman"/>
          <w:b/>
          <w:sz w:val="44"/>
          <w:szCs w:val="44"/>
          <w:lang w:eastAsia="zh-CN"/>
        </w:rPr>
        <w:t>四川南充水利电力建筑勘察设计研究院</w:t>
      </w:r>
    </w:p>
    <w:p>
      <w:pPr>
        <w:spacing w:after="315" w:afterLines="100" w:afterAutospacing="0" w:line="578" w:lineRule="exact"/>
        <w:jc w:val="center"/>
        <w:rPr>
          <w:rFonts w:hint="eastAsia" w:ascii="方正小标宋简体" w:hAnsi="Calibri" w:eastAsia="方正小标宋简体" w:cs="Times New Roman"/>
          <w:b/>
          <w:sz w:val="44"/>
          <w:szCs w:val="44"/>
        </w:rPr>
      </w:pPr>
      <w:r>
        <w:rPr>
          <w:rFonts w:hint="eastAsia" w:ascii="方正小标宋简体" w:hAnsi="Calibri" w:eastAsia="方正小标宋简体" w:cs="Times New Roman"/>
          <w:b/>
          <w:sz w:val="44"/>
          <w:szCs w:val="44"/>
        </w:rPr>
        <w:t>预算绩效评价操作规程（试行）</w:t>
      </w:r>
    </w:p>
    <w:p>
      <w:pPr>
        <w:spacing w:beforeAutospacing="0" w:after="159" w:afterLines="50" w:afterAutospacing="0" w:line="578" w:lineRule="exact"/>
        <w:jc w:val="center"/>
        <w:rPr>
          <w:rFonts w:hint="eastAsia" w:ascii="黑体" w:hAnsi="黑体" w:eastAsia="黑体" w:cs="Times New Roman"/>
          <w:b/>
          <w:sz w:val="32"/>
          <w:szCs w:val="32"/>
        </w:rPr>
      </w:pPr>
      <w:r>
        <w:rPr>
          <w:rFonts w:hint="eastAsia" w:ascii="黑体" w:hAnsi="黑体" w:eastAsia="黑体" w:cs="Times New Roman"/>
          <w:b/>
          <w:sz w:val="32"/>
          <w:szCs w:val="32"/>
        </w:rPr>
        <w:t>第一章 总</w:t>
      </w:r>
      <w:r>
        <w:rPr>
          <w:rFonts w:hint="eastAsia" w:ascii="黑体" w:hAnsi="黑体" w:eastAsia="黑体"/>
          <w:b/>
          <w:sz w:val="32"/>
          <w:szCs w:val="32"/>
        </w:rPr>
        <w:t>　</w:t>
      </w:r>
      <w:r>
        <w:rPr>
          <w:rFonts w:hint="eastAsia" w:ascii="黑体" w:hAnsi="黑体" w:eastAsia="黑体" w:cs="Times New Roman"/>
          <w:b/>
          <w:sz w:val="32"/>
          <w:szCs w:val="32"/>
        </w:rPr>
        <w:t>则</w:t>
      </w:r>
    </w:p>
    <w:p>
      <w:pPr>
        <w:spacing w:beforeAutospacing="0" w:line="578" w:lineRule="exact"/>
        <w:jc w:val="left"/>
        <w:rPr>
          <w:rFonts w:hint="eastAsia" w:ascii="黑体" w:hAnsi="黑体" w:eastAsia="黑体" w:cs="Times New Roman"/>
          <w:b/>
          <w:sz w:val="32"/>
          <w:szCs w:val="32"/>
        </w:rPr>
      </w:pPr>
      <w:r>
        <w:rPr>
          <w:rFonts w:hint="eastAsia" w:ascii="黑体" w:hAnsi="黑体" w:eastAsia="黑体" w:cs="Times New Roman"/>
          <w:b/>
          <w:sz w:val="32"/>
          <w:szCs w:val="32"/>
          <w:lang w:val="en-US" w:eastAsia="zh-CN"/>
        </w:rPr>
        <w:t xml:space="preserve">    </w:t>
      </w:r>
      <w:r>
        <w:rPr>
          <w:rFonts w:hint="eastAsia" w:ascii="黑体" w:hAnsi="黑体" w:eastAsia="黑体" w:cs="Times New Roman"/>
          <w:b/>
          <w:sz w:val="32"/>
          <w:szCs w:val="32"/>
        </w:rPr>
        <w:t>第一条</w:t>
      </w:r>
      <w:r>
        <w:rPr>
          <w:rFonts w:hint="eastAsia" w:ascii="黑体" w:hAnsi="黑体" w:eastAsia="黑体" w:cs="Times New Roman"/>
          <w:b/>
          <w:sz w:val="32"/>
          <w:szCs w:val="32"/>
          <w:lang w:val="en-US" w:eastAsia="zh-CN"/>
        </w:rPr>
        <w:t xml:space="preserve"> </w:t>
      </w:r>
      <w:r>
        <w:rPr>
          <w:rFonts w:hint="eastAsia" w:ascii="黑体" w:hAnsi="黑体" w:eastAsia="黑体" w:cs="Times New Roman"/>
          <w:b/>
          <w:sz w:val="32"/>
          <w:szCs w:val="32"/>
        </w:rPr>
        <w:t>为全面实施预算绩效管理，提高财政资源配置效率和使用效益，强化支出责任，建立科学、合理的预算绩效评价管理体系，规范、细化绩效评价工作流程，根据《中华人民共和国预算法》和《中共中央　国务院关于全面实施预算绩效管理的意见》《中共四川省委　四川省人民政府关于全面实施预算绩效管理的实施意见》《中共南充市委　南充市人民政府关于全面实施预算绩效管理的实施意见》</w:t>
      </w:r>
      <w:r>
        <w:rPr>
          <w:rFonts w:hint="eastAsia" w:ascii="黑体" w:hAnsi="黑体" w:eastAsia="黑体" w:cs="Times New Roman"/>
          <w:b/>
          <w:sz w:val="32"/>
          <w:szCs w:val="32"/>
          <w:lang w:eastAsia="zh-CN"/>
        </w:rPr>
        <w:t>、</w:t>
      </w:r>
      <w:r>
        <w:rPr>
          <w:rFonts w:hint="eastAsia" w:ascii="黑体" w:hAnsi="黑体" w:eastAsia="黑体" w:cs="Times New Roman"/>
          <w:b/>
          <w:sz w:val="32"/>
          <w:szCs w:val="32"/>
        </w:rPr>
        <w:t>《全市预算绩效管理工作推进方案》等要求，结合</w:t>
      </w:r>
      <w:r>
        <w:rPr>
          <w:rFonts w:hint="eastAsia" w:ascii="黑体" w:hAnsi="黑体" w:eastAsia="黑体" w:cs="Times New Roman"/>
          <w:b/>
          <w:sz w:val="32"/>
          <w:szCs w:val="32"/>
          <w:lang w:eastAsia="zh-CN"/>
        </w:rPr>
        <w:t>我院</w:t>
      </w:r>
      <w:r>
        <w:rPr>
          <w:rFonts w:hint="eastAsia" w:ascii="黑体" w:hAnsi="黑体" w:eastAsia="黑体" w:cs="Times New Roman"/>
          <w:b/>
          <w:sz w:val="32"/>
          <w:szCs w:val="32"/>
        </w:rPr>
        <w:t>实际，制定本规程。</w:t>
      </w:r>
    </w:p>
    <w:p>
      <w:pPr>
        <w:spacing w:line="578" w:lineRule="exact"/>
        <w:jc w:val="left"/>
        <w:rPr>
          <w:rFonts w:hint="eastAsia" w:ascii="黑体" w:hAnsi="黑体" w:eastAsia="黑体" w:cs="Times New Roman"/>
          <w:b/>
          <w:sz w:val="32"/>
          <w:szCs w:val="32"/>
        </w:rPr>
      </w:pPr>
      <w:r>
        <w:rPr>
          <w:rFonts w:hint="eastAsia" w:ascii="黑体" w:hAnsi="黑体" w:eastAsia="黑体" w:cs="Times New Roman"/>
          <w:b/>
          <w:sz w:val="32"/>
          <w:szCs w:val="32"/>
          <w:lang w:val="en-US" w:eastAsia="zh-CN"/>
        </w:rPr>
        <w:t xml:space="preserve">    </w:t>
      </w:r>
      <w:r>
        <w:rPr>
          <w:rFonts w:hint="eastAsia" w:ascii="黑体" w:hAnsi="黑体" w:eastAsia="黑体" w:cs="Times New Roman"/>
          <w:b/>
          <w:sz w:val="32"/>
          <w:szCs w:val="32"/>
        </w:rPr>
        <w:t>第二条</w:t>
      </w:r>
      <w:r>
        <w:rPr>
          <w:rFonts w:hint="eastAsia" w:ascii="黑体" w:hAnsi="黑体" w:eastAsia="黑体" w:cs="Times New Roman"/>
          <w:b/>
          <w:sz w:val="32"/>
          <w:szCs w:val="32"/>
          <w:lang w:val="en-US" w:eastAsia="zh-CN"/>
        </w:rPr>
        <w:t xml:space="preserve"> </w:t>
      </w:r>
      <w:r>
        <w:rPr>
          <w:rFonts w:hint="eastAsia" w:ascii="黑体" w:hAnsi="黑体" w:eastAsia="黑体" w:cs="Times New Roman"/>
          <w:b/>
          <w:sz w:val="32"/>
          <w:szCs w:val="32"/>
        </w:rPr>
        <w:t>本规程所称的绩效评价指</w:t>
      </w:r>
      <w:r>
        <w:rPr>
          <w:rFonts w:hint="eastAsia" w:ascii="黑体" w:hAnsi="黑体" w:eastAsia="黑体" w:cs="Times New Roman"/>
          <w:b/>
          <w:sz w:val="32"/>
          <w:szCs w:val="32"/>
          <w:lang w:eastAsia="zh-CN"/>
        </w:rPr>
        <w:t>我院</w:t>
      </w:r>
      <w:r>
        <w:rPr>
          <w:rFonts w:hint="eastAsia" w:ascii="黑体" w:hAnsi="黑体" w:eastAsia="黑体" w:cs="Times New Roman"/>
          <w:b/>
          <w:sz w:val="32"/>
          <w:szCs w:val="32"/>
        </w:rPr>
        <w:t>依据批复的绩效目标，运用科学、合理的绩效评价指标、评价标准和评价方法，对财政收入的合规性、全面性、合理性，支出的经济性、效率性、效益性、公平性和可持续性以及部门履职效能等进行客观、公正的测量、分析和评判。</w:t>
      </w:r>
    </w:p>
    <w:p>
      <w:pPr>
        <w:spacing w:line="578" w:lineRule="exact"/>
        <w:ind w:firstLine="643" w:firstLineChars="200"/>
        <w:jc w:val="left"/>
        <w:rPr>
          <w:rFonts w:hint="eastAsia" w:ascii="黑体" w:hAnsi="黑体" w:eastAsia="黑体" w:cs="Times New Roman"/>
          <w:b/>
          <w:sz w:val="32"/>
          <w:szCs w:val="32"/>
        </w:rPr>
      </w:pPr>
      <w:r>
        <w:rPr>
          <w:rFonts w:hint="eastAsia" w:ascii="黑体" w:hAnsi="黑体" w:eastAsia="黑体" w:cs="Times New Roman"/>
          <w:b/>
          <w:sz w:val="32"/>
          <w:szCs w:val="32"/>
        </w:rPr>
        <w:t>第三条</w:t>
      </w:r>
      <w:r>
        <w:rPr>
          <w:rFonts w:hint="eastAsia" w:ascii="黑体" w:hAnsi="黑体" w:eastAsia="黑体" w:cs="Times New Roman"/>
          <w:b/>
          <w:sz w:val="32"/>
          <w:szCs w:val="32"/>
          <w:lang w:val="en-US" w:eastAsia="zh-CN"/>
        </w:rPr>
        <w:t xml:space="preserve"> </w:t>
      </w:r>
      <w:r>
        <w:rPr>
          <w:rFonts w:hint="eastAsia" w:ascii="黑体" w:hAnsi="黑体" w:eastAsia="黑体" w:cs="Times New Roman"/>
          <w:b/>
          <w:sz w:val="32"/>
          <w:szCs w:val="32"/>
        </w:rPr>
        <w:t>由市级专项资金安排的财政项目和政策以及部门整体绩效评价适用本办法。涉及财政资金的政府投资基金、政府采购、政府购买服务、政府债务项目等绩效评价可参照本规程执行。</w:t>
      </w:r>
    </w:p>
    <w:p>
      <w:pPr>
        <w:spacing w:line="578" w:lineRule="exact"/>
        <w:ind w:firstLine="642"/>
        <w:jc w:val="left"/>
        <w:rPr>
          <w:rFonts w:hint="eastAsia" w:ascii="黑体" w:hAnsi="黑体" w:eastAsia="黑体" w:cs="Times New Roman"/>
          <w:b/>
          <w:sz w:val="32"/>
          <w:szCs w:val="32"/>
        </w:rPr>
      </w:pPr>
      <w:r>
        <w:rPr>
          <w:rFonts w:hint="eastAsia" w:ascii="黑体" w:hAnsi="黑体" w:eastAsia="黑体" w:cs="Times New Roman"/>
          <w:b/>
          <w:sz w:val="32"/>
          <w:szCs w:val="32"/>
        </w:rPr>
        <w:t>第四条</w:t>
      </w:r>
      <w:r>
        <w:rPr>
          <w:rFonts w:hint="eastAsia" w:ascii="黑体" w:hAnsi="黑体" w:eastAsia="黑体" w:cs="Times New Roman"/>
          <w:b/>
          <w:sz w:val="32"/>
          <w:szCs w:val="32"/>
          <w:lang w:val="en-US" w:eastAsia="zh-CN"/>
        </w:rPr>
        <w:t xml:space="preserve"> </w:t>
      </w:r>
      <w:r>
        <w:rPr>
          <w:rFonts w:hint="eastAsia" w:ascii="黑体" w:hAnsi="黑体" w:eastAsia="黑体" w:cs="Times New Roman"/>
          <w:b/>
          <w:sz w:val="32"/>
          <w:szCs w:val="32"/>
        </w:rPr>
        <w:t>本规程适用于市级财政部门开展的重点绩效评价（以下简称重点评价）、</w:t>
      </w:r>
      <w:r>
        <w:rPr>
          <w:rFonts w:hint="eastAsia" w:ascii="黑体" w:hAnsi="黑体" w:eastAsia="黑体" w:cs="Times New Roman"/>
          <w:b/>
          <w:sz w:val="32"/>
          <w:szCs w:val="32"/>
          <w:lang w:eastAsia="zh-CN"/>
        </w:rPr>
        <w:t>市财政要求我院应</w:t>
      </w:r>
      <w:r>
        <w:rPr>
          <w:rFonts w:hint="eastAsia" w:ascii="黑体" w:hAnsi="黑体" w:eastAsia="黑体" w:cs="Times New Roman"/>
          <w:b/>
          <w:sz w:val="32"/>
          <w:szCs w:val="32"/>
        </w:rPr>
        <w:t>开展的</w:t>
      </w:r>
      <w:r>
        <w:rPr>
          <w:rFonts w:hint="eastAsia" w:ascii="黑体" w:hAnsi="黑体" w:eastAsia="黑体" w:cs="Times New Roman"/>
          <w:b/>
          <w:sz w:val="32"/>
          <w:szCs w:val="32"/>
          <w:lang w:eastAsia="zh-CN"/>
        </w:rPr>
        <w:t>项目支出</w:t>
      </w:r>
      <w:r>
        <w:rPr>
          <w:rFonts w:hint="eastAsia" w:ascii="黑体" w:hAnsi="黑体" w:eastAsia="黑体" w:cs="Times New Roman"/>
          <w:b/>
          <w:sz w:val="32"/>
          <w:szCs w:val="32"/>
        </w:rPr>
        <w:t>绩效自评</w:t>
      </w:r>
      <w:r>
        <w:rPr>
          <w:rFonts w:hint="eastAsia" w:ascii="黑体" w:hAnsi="黑体" w:eastAsia="黑体" w:cs="Times New Roman"/>
          <w:b/>
          <w:sz w:val="32"/>
          <w:szCs w:val="32"/>
          <w:lang w:eastAsia="zh-CN"/>
        </w:rPr>
        <w:t>（包含预算事前绩效评估）以及部门整体支出绩效评价</w:t>
      </w:r>
      <w:r>
        <w:rPr>
          <w:rFonts w:hint="eastAsia" w:ascii="黑体" w:hAnsi="黑体" w:eastAsia="黑体" w:cs="Times New Roman"/>
          <w:b/>
          <w:sz w:val="32"/>
          <w:szCs w:val="32"/>
        </w:rPr>
        <w:t>。</w:t>
      </w:r>
    </w:p>
    <w:p>
      <w:pPr>
        <w:spacing w:line="578" w:lineRule="exact"/>
        <w:ind w:firstLine="642"/>
        <w:jc w:val="left"/>
        <w:rPr>
          <w:rFonts w:hint="eastAsia" w:ascii="黑体" w:hAnsi="黑体" w:eastAsia="黑体" w:cs="Times New Roman"/>
          <w:b/>
          <w:sz w:val="32"/>
          <w:szCs w:val="32"/>
        </w:rPr>
      </w:pPr>
      <w:r>
        <w:rPr>
          <w:rFonts w:hint="eastAsia" w:ascii="黑体" w:hAnsi="黑体" w:eastAsia="黑体" w:cs="Times New Roman"/>
          <w:b/>
          <w:sz w:val="32"/>
          <w:szCs w:val="32"/>
          <w:lang w:eastAsia="zh-CN"/>
        </w:rPr>
        <w:t>部门整体支出绩效评价应在市财政局规定的时间内，按要求认真填报单位概况、部门财政资金收支情况、部门整体预算绩效管理情况〔包含：部门预算管理（包括部门绩效目标制定、目标实现、预算编制准确、支出控制、预算动态调整、执行进度、预算完成情况和违规记录等）情况、结果应用情况（包括评价结果整改和应用结果反馈等情况）〕、评价结论及建议。整体支出绩效评价评分由市财政局组织实施，我院评价工作组负责收集整理资料。</w:t>
      </w:r>
    </w:p>
    <w:p>
      <w:pPr>
        <w:spacing w:line="578" w:lineRule="exact"/>
        <w:ind w:firstLine="643" w:firstLineChars="200"/>
        <w:jc w:val="left"/>
        <w:rPr>
          <w:rFonts w:hint="eastAsia" w:ascii="黑体" w:hAnsi="黑体" w:eastAsia="黑体" w:cs="Times New Roman"/>
          <w:b/>
          <w:sz w:val="32"/>
          <w:szCs w:val="32"/>
        </w:rPr>
      </w:pPr>
      <w:r>
        <w:rPr>
          <w:rFonts w:hint="eastAsia" w:ascii="黑体" w:hAnsi="黑体" w:eastAsia="黑体" w:cs="Times New Roman"/>
          <w:b/>
          <w:sz w:val="32"/>
          <w:szCs w:val="32"/>
        </w:rPr>
        <w:t>第五条</w:t>
      </w:r>
      <w:r>
        <w:rPr>
          <w:rFonts w:hint="eastAsia" w:ascii="黑体" w:hAnsi="黑体" w:eastAsia="黑体" w:cs="Times New Roman"/>
          <w:b/>
          <w:sz w:val="32"/>
          <w:szCs w:val="32"/>
          <w:lang w:val="en-US" w:eastAsia="zh-CN"/>
        </w:rPr>
        <w:t xml:space="preserve"> </w:t>
      </w:r>
      <w:r>
        <w:rPr>
          <w:rFonts w:hint="eastAsia" w:ascii="黑体" w:hAnsi="黑体" w:eastAsia="黑体" w:cs="Times New Roman"/>
          <w:b/>
          <w:sz w:val="32"/>
          <w:szCs w:val="32"/>
        </w:rPr>
        <w:t>绩效评价的基本原则：</w:t>
      </w:r>
    </w:p>
    <w:p>
      <w:pPr>
        <w:spacing w:line="578" w:lineRule="exact"/>
        <w:ind w:firstLine="643" w:firstLineChars="200"/>
        <w:jc w:val="left"/>
        <w:rPr>
          <w:rFonts w:hint="eastAsia" w:ascii="黑体" w:hAnsi="黑体" w:eastAsia="黑体" w:cs="Times New Roman"/>
          <w:b/>
          <w:sz w:val="32"/>
          <w:szCs w:val="32"/>
        </w:rPr>
      </w:pPr>
      <w:r>
        <w:rPr>
          <w:rFonts w:hint="eastAsia" w:ascii="黑体" w:hAnsi="黑体" w:eastAsia="黑体" w:cs="Times New Roman"/>
          <w:b/>
          <w:sz w:val="32"/>
          <w:szCs w:val="32"/>
        </w:rPr>
        <w:t>（一）科学合理。绩效评价应当运用科学合理的方法，按照规范的程序，对评价对象的绩效进行客观、公正的反映。</w:t>
      </w:r>
    </w:p>
    <w:p>
      <w:pPr>
        <w:spacing w:line="578" w:lineRule="exact"/>
        <w:ind w:firstLine="643" w:firstLineChars="200"/>
        <w:jc w:val="left"/>
        <w:rPr>
          <w:rFonts w:hint="eastAsia" w:ascii="黑体" w:hAnsi="黑体" w:eastAsia="黑体" w:cs="Times New Roman"/>
          <w:b/>
          <w:sz w:val="32"/>
          <w:szCs w:val="32"/>
        </w:rPr>
      </w:pPr>
      <w:r>
        <w:rPr>
          <w:rFonts w:hint="eastAsia" w:ascii="黑体" w:hAnsi="黑体" w:eastAsia="黑体" w:cs="Times New Roman"/>
          <w:b/>
          <w:sz w:val="32"/>
          <w:szCs w:val="32"/>
        </w:rPr>
        <w:t>（二）统筹兼顾。自评价、重点评价应职责明确，各有侧重，相互衔接。项目和政策自评价由</w:t>
      </w:r>
      <w:r>
        <w:rPr>
          <w:rFonts w:hint="eastAsia" w:ascii="黑体" w:hAnsi="黑体" w:eastAsia="黑体" w:cs="Times New Roman"/>
          <w:b/>
          <w:sz w:val="32"/>
          <w:szCs w:val="32"/>
          <w:lang w:eastAsia="zh-CN"/>
        </w:rPr>
        <w:t>项目实施部门</w:t>
      </w:r>
      <w:r>
        <w:rPr>
          <w:rFonts w:hint="eastAsia" w:ascii="黑体" w:hAnsi="黑体" w:eastAsia="黑体" w:cs="Times New Roman"/>
          <w:b/>
          <w:sz w:val="32"/>
          <w:szCs w:val="32"/>
        </w:rPr>
        <w:t>组织实施；重点评价由财政部门在自评基础上组织实施。</w:t>
      </w:r>
    </w:p>
    <w:p>
      <w:pPr>
        <w:spacing w:line="578" w:lineRule="exact"/>
        <w:ind w:firstLine="643" w:firstLineChars="200"/>
        <w:jc w:val="left"/>
        <w:rPr>
          <w:rFonts w:hint="eastAsia" w:ascii="黑体" w:hAnsi="黑体" w:eastAsia="黑体" w:cs="Times New Roman"/>
          <w:b/>
          <w:sz w:val="32"/>
          <w:szCs w:val="32"/>
        </w:rPr>
      </w:pPr>
      <w:r>
        <w:rPr>
          <w:rFonts w:hint="eastAsia" w:ascii="黑体" w:hAnsi="黑体" w:eastAsia="黑体" w:cs="Times New Roman"/>
          <w:b/>
          <w:sz w:val="32"/>
          <w:szCs w:val="32"/>
        </w:rPr>
        <w:t>（三）激励约束。绩效评价结果应与预算安排、政策调整、改进管理实质性挂钩，有效要安排、低效要压减、无效要问责，体现奖优罚劣和激励相容导向。</w:t>
      </w:r>
    </w:p>
    <w:p>
      <w:pPr>
        <w:spacing w:line="578" w:lineRule="exact"/>
        <w:ind w:firstLine="643" w:firstLineChars="200"/>
        <w:jc w:val="left"/>
        <w:rPr>
          <w:rFonts w:hint="eastAsia" w:ascii="黑体" w:hAnsi="黑体" w:eastAsia="黑体" w:cs="Times New Roman"/>
          <w:b/>
          <w:sz w:val="32"/>
          <w:szCs w:val="32"/>
        </w:rPr>
      </w:pPr>
      <w:r>
        <w:rPr>
          <w:rFonts w:hint="eastAsia" w:ascii="黑体" w:hAnsi="黑体" w:eastAsia="黑体" w:cs="Times New Roman"/>
          <w:b/>
          <w:sz w:val="32"/>
          <w:szCs w:val="32"/>
        </w:rPr>
        <w:t>（四）公开透明。绩效评价结果应依法依规公开，自觉接受社会监督。</w:t>
      </w:r>
    </w:p>
    <w:p>
      <w:pPr>
        <w:spacing w:line="578" w:lineRule="exact"/>
        <w:ind w:firstLine="643" w:firstLineChars="200"/>
        <w:jc w:val="left"/>
        <w:rPr>
          <w:rFonts w:hint="eastAsia" w:ascii="黑体" w:hAnsi="黑体" w:eastAsia="黑体" w:cs="Times New Roman"/>
          <w:b/>
          <w:sz w:val="32"/>
          <w:szCs w:val="32"/>
        </w:rPr>
      </w:pPr>
      <w:r>
        <w:rPr>
          <w:rFonts w:hint="eastAsia" w:ascii="黑体" w:hAnsi="黑体" w:eastAsia="黑体" w:cs="Times New Roman"/>
          <w:b/>
          <w:sz w:val="32"/>
          <w:szCs w:val="32"/>
        </w:rPr>
        <w:t>第六条</w:t>
      </w:r>
      <w:r>
        <w:rPr>
          <w:rFonts w:hint="eastAsia" w:ascii="黑体" w:hAnsi="黑体" w:eastAsia="黑体" w:cs="Times New Roman"/>
          <w:b/>
          <w:sz w:val="32"/>
          <w:szCs w:val="32"/>
          <w:lang w:val="en-US" w:eastAsia="zh-CN"/>
        </w:rPr>
        <w:t xml:space="preserve"> </w:t>
      </w:r>
      <w:r>
        <w:rPr>
          <w:rFonts w:hint="eastAsia" w:ascii="黑体" w:hAnsi="黑体" w:eastAsia="黑体" w:cs="Times New Roman"/>
          <w:b/>
          <w:sz w:val="32"/>
          <w:szCs w:val="32"/>
        </w:rPr>
        <w:t>绩效评价的主要依据：</w:t>
      </w:r>
    </w:p>
    <w:p>
      <w:pPr>
        <w:spacing w:line="578" w:lineRule="exact"/>
        <w:ind w:firstLine="643" w:firstLineChars="200"/>
        <w:jc w:val="left"/>
        <w:rPr>
          <w:rFonts w:hint="eastAsia" w:ascii="黑体" w:hAnsi="黑体" w:eastAsia="黑体" w:cs="Times New Roman"/>
          <w:b/>
          <w:sz w:val="32"/>
          <w:szCs w:val="32"/>
        </w:rPr>
      </w:pPr>
      <w:r>
        <w:rPr>
          <w:rFonts w:hint="eastAsia" w:ascii="黑体" w:hAnsi="黑体" w:eastAsia="黑体" w:cs="Times New Roman"/>
          <w:b/>
          <w:sz w:val="32"/>
          <w:szCs w:val="32"/>
        </w:rPr>
        <w:t>（一）国家相关法律、法规和规章制度。</w:t>
      </w:r>
    </w:p>
    <w:p>
      <w:pPr>
        <w:spacing w:line="578" w:lineRule="exact"/>
        <w:ind w:firstLine="643" w:firstLineChars="200"/>
        <w:jc w:val="left"/>
        <w:rPr>
          <w:rFonts w:hint="eastAsia" w:ascii="黑体" w:hAnsi="黑体" w:eastAsia="黑体" w:cs="Times New Roman"/>
          <w:b/>
          <w:sz w:val="32"/>
          <w:szCs w:val="32"/>
        </w:rPr>
      </w:pPr>
      <w:r>
        <w:rPr>
          <w:rFonts w:hint="eastAsia" w:ascii="黑体" w:hAnsi="黑体" w:eastAsia="黑体" w:cs="Times New Roman"/>
          <w:b/>
          <w:sz w:val="32"/>
          <w:szCs w:val="32"/>
        </w:rPr>
        <w:t>（二）国家、省、市制定的国民经济、社会发展规划和方针政策等。</w:t>
      </w:r>
    </w:p>
    <w:p>
      <w:pPr>
        <w:spacing w:line="578" w:lineRule="exact"/>
        <w:ind w:firstLine="643" w:firstLineChars="200"/>
        <w:jc w:val="left"/>
        <w:rPr>
          <w:rFonts w:hint="eastAsia" w:ascii="黑体" w:hAnsi="黑体" w:eastAsia="黑体" w:cs="Times New Roman"/>
          <w:b/>
          <w:sz w:val="32"/>
          <w:szCs w:val="32"/>
        </w:rPr>
      </w:pPr>
      <w:r>
        <w:rPr>
          <w:rFonts w:hint="eastAsia" w:ascii="黑体" w:hAnsi="黑体" w:eastAsia="黑体" w:cs="Times New Roman"/>
          <w:b/>
          <w:sz w:val="32"/>
          <w:szCs w:val="32"/>
        </w:rPr>
        <w:t>（三）相关行业政策、行业标准及专业技术规范。</w:t>
      </w:r>
    </w:p>
    <w:p>
      <w:pPr>
        <w:spacing w:line="578" w:lineRule="exact"/>
        <w:ind w:firstLine="643" w:firstLineChars="200"/>
        <w:jc w:val="left"/>
        <w:rPr>
          <w:rFonts w:hint="eastAsia" w:ascii="黑体" w:hAnsi="黑体" w:eastAsia="黑体" w:cs="Times New Roman"/>
          <w:b/>
          <w:sz w:val="32"/>
          <w:szCs w:val="32"/>
        </w:rPr>
      </w:pPr>
      <w:r>
        <w:rPr>
          <w:rFonts w:hint="eastAsia" w:ascii="黑体" w:hAnsi="黑体" w:eastAsia="黑体" w:cs="Times New Roman"/>
          <w:b/>
          <w:sz w:val="32"/>
          <w:szCs w:val="32"/>
        </w:rPr>
        <w:t>（四）财政相关管理制度、会计核算制度、专项资金</w:t>
      </w:r>
      <w:r>
        <w:rPr>
          <w:rFonts w:hint="eastAsia" w:ascii="黑体" w:hAnsi="黑体" w:eastAsia="黑体" w:cs="Times New Roman"/>
          <w:b/>
          <w:sz w:val="32"/>
          <w:szCs w:val="32"/>
          <w:lang w:eastAsia="zh-CN"/>
        </w:rPr>
        <w:t>等</w:t>
      </w:r>
      <w:r>
        <w:rPr>
          <w:rFonts w:hint="eastAsia" w:ascii="黑体" w:hAnsi="黑体" w:eastAsia="黑体" w:cs="Times New Roman"/>
          <w:b/>
          <w:sz w:val="32"/>
          <w:szCs w:val="32"/>
        </w:rPr>
        <w:t>管理办法。</w:t>
      </w:r>
    </w:p>
    <w:p>
      <w:pPr>
        <w:spacing w:line="578" w:lineRule="exact"/>
        <w:ind w:firstLine="643" w:firstLineChars="200"/>
        <w:jc w:val="left"/>
        <w:rPr>
          <w:rFonts w:hint="eastAsia" w:ascii="黑体" w:hAnsi="黑体" w:eastAsia="黑体" w:cs="Times New Roman"/>
          <w:b/>
          <w:sz w:val="32"/>
          <w:szCs w:val="32"/>
        </w:rPr>
      </w:pPr>
      <w:r>
        <w:rPr>
          <w:rFonts w:hint="eastAsia" w:ascii="黑体" w:hAnsi="黑体" w:eastAsia="黑体" w:cs="Times New Roman"/>
          <w:b/>
          <w:sz w:val="32"/>
          <w:szCs w:val="32"/>
        </w:rPr>
        <w:t>（</w:t>
      </w:r>
      <w:r>
        <w:rPr>
          <w:rFonts w:hint="eastAsia" w:ascii="黑体" w:hAnsi="黑体" w:eastAsia="黑体" w:cs="Times New Roman"/>
          <w:b/>
          <w:sz w:val="32"/>
          <w:szCs w:val="32"/>
          <w:lang w:eastAsia="zh-CN"/>
        </w:rPr>
        <w:t>五</w:t>
      </w:r>
      <w:r>
        <w:rPr>
          <w:rFonts w:hint="eastAsia" w:ascii="黑体" w:hAnsi="黑体" w:eastAsia="黑体" w:cs="Times New Roman"/>
          <w:b/>
          <w:sz w:val="32"/>
          <w:szCs w:val="32"/>
        </w:rPr>
        <w:t>）其他相关资料。</w:t>
      </w:r>
    </w:p>
    <w:p>
      <w:pPr>
        <w:spacing w:line="578" w:lineRule="exact"/>
        <w:ind w:firstLine="643" w:firstLineChars="200"/>
        <w:jc w:val="left"/>
        <w:rPr>
          <w:rFonts w:hint="eastAsia" w:ascii="黑体" w:hAnsi="黑体" w:eastAsia="黑体" w:cs="Times New Roman"/>
          <w:b/>
          <w:sz w:val="32"/>
          <w:szCs w:val="32"/>
        </w:rPr>
      </w:pPr>
      <w:r>
        <w:rPr>
          <w:rFonts w:hint="eastAsia" w:ascii="黑体" w:hAnsi="黑体" w:eastAsia="黑体" w:cs="Times New Roman"/>
          <w:b/>
          <w:sz w:val="32"/>
          <w:szCs w:val="32"/>
        </w:rPr>
        <w:t>第七条</w:t>
      </w:r>
      <w:r>
        <w:rPr>
          <w:rFonts w:hint="eastAsia" w:ascii="黑体" w:hAnsi="黑体" w:eastAsia="黑体" w:cs="Times New Roman"/>
          <w:b/>
          <w:sz w:val="32"/>
          <w:szCs w:val="32"/>
          <w:lang w:val="en-US" w:eastAsia="zh-CN"/>
        </w:rPr>
        <w:t xml:space="preserve"> </w:t>
      </w:r>
      <w:r>
        <w:rPr>
          <w:rFonts w:hint="eastAsia" w:ascii="黑体" w:hAnsi="黑体" w:eastAsia="黑体" w:cs="Times New Roman"/>
          <w:b/>
          <w:sz w:val="32"/>
          <w:szCs w:val="32"/>
        </w:rPr>
        <w:t>绩效评价的基本流程：</w:t>
      </w:r>
    </w:p>
    <w:p>
      <w:pPr>
        <w:spacing w:afterAutospacing="0" w:line="578" w:lineRule="exact"/>
        <w:ind w:firstLine="643" w:firstLineChars="200"/>
        <w:jc w:val="left"/>
        <w:rPr>
          <w:rFonts w:hint="eastAsia" w:ascii="黑体" w:hAnsi="黑体" w:eastAsia="黑体" w:cs="Times New Roman"/>
          <w:b/>
          <w:sz w:val="32"/>
          <w:szCs w:val="32"/>
        </w:rPr>
      </w:pPr>
      <w:r>
        <w:rPr>
          <w:rFonts w:hint="eastAsia" w:ascii="黑体" w:hAnsi="黑体" w:eastAsia="黑体" w:cs="Times New Roman"/>
          <w:b/>
          <w:sz w:val="32"/>
          <w:szCs w:val="32"/>
        </w:rPr>
        <w:t>绩效评价包括确定评价对象、前期准备、组织实施、报告撰写、结果应用。</w:t>
      </w:r>
    </w:p>
    <w:p>
      <w:pPr>
        <w:spacing w:before="159" w:beforeLines="50" w:beforeAutospacing="0" w:after="159" w:afterLines="50" w:afterAutospacing="0" w:line="578" w:lineRule="exact"/>
        <w:jc w:val="center"/>
        <w:rPr>
          <w:rFonts w:hint="eastAsia" w:ascii="黑体" w:hAnsi="黑体" w:eastAsia="黑体" w:cs="Times New Roman"/>
          <w:b/>
          <w:sz w:val="32"/>
          <w:szCs w:val="32"/>
        </w:rPr>
      </w:pPr>
      <w:r>
        <w:rPr>
          <w:rFonts w:hint="eastAsia" w:ascii="黑体" w:hAnsi="黑体" w:eastAsia="黑体" w:cs="Times New Roman"/>
          <w:b/>
          <w:sz w:val="32"/>
          <w:szCs w:val="32"/>
        </w:rPr>
        <w:t>第二章 确定绩效评价对象</w:t>
      </w:r>
    </w:p>
    <w:p>
      <w:pPr>
        <w:spacing w:beforeAutospacing="0" w:line="578" w:lineRule="exact"/>
        <w:ind w:firstLine="643" w:firstLineChars="200"/>
        <w:jc w:val="left"/>
        <w:rPr>
          <w:rFonts w:hint="eastAsia" w:ascii="黑体" w:hAnsi="黑体" w:eastAsia="黑体" w:cs="Times New Roman"/>
          <w:b/>
          <w:sz w:val="32"/>
          <w:szCs w:val="32"/>
        </w:rPr>
      </w:pPr>
      <w:r>
        <w:rPr>
          <w:rFonts w:hint="eastAsia" w:ascii="黑体" w:hAnsi="黑体" w:eastAsia="黑体" w:cs="Times New Roman"/>
          <w:b/>
          <w:sz w:val="32"/>
          <w:szCs w:val="32"/>
        </w:rPr>
        <w:t>第八条</w:t>
      </w:r>
      <w:r>
        <w:rPr>
          <w:rFonts w:hint="eastAsia" w:ascii="黑体" w:hAnsi="黑体" w:eastAsia="黑体" w:cs="Times New Roman"/>
          <w:b/>
          <w:sz w:val="32"/>
          <w:szCs w:val="32"/>
          <w:lang w:val="en-US" w:eastAsia="zh-CN"/>
        </w:rPr>
        <w:t xml:space="preserve"> </w:t>
      </w:r>
      <w:r>
        <w:rPr>
          <w:rFonts w:hint="eastAsia" w:ascii="黑体" w:hAnsi="黑体" w:eastAsia="黑体" w:cs="Times New Roman"/>
          <w:b/>
          <w:sz w:val="32"/>
          <w:szCs w:val="32"/>
        </w:rPr>
        <w:t>确定绩效评价对象包括财政部门确定财政重点评价对象和</w:t>
      </w:r>
      <w:r>
        <w:rPr>
          <w:rFonts w:hint="eastAsia" w:ascii="黑体" w:hAnsi="黑体" w:eastAsia="黑体" w:cs="Times New Roman"/>
          <w:b/>
          <w:sz w:val="32"/>
          <w:szCs w:val="32"/>
          <w:lang w:eastAsia="zh-CN"/>
        </w:rPr>
        <w:t>我院应</w:t>
      </w:r>
      <w:r>
        <w:rPr>
          <w:rFonts w:hint="eastAsia" w:ascii="黑体" w:hAnsi="黑体" w:eastAsia="黑体" w:cs="Times New Roman"/>
          <w:b/>
          <w:sz w:val="32"/>
          <w:szCs w:val="32"/>
        </w:rPr>
        <w:t>自评</w:t>
      </w:r>
      <w:r>
        <w:rPr>
          <w:rFonts w:hint="eastAsia" w:ascii="黑体" w:hAnsi="黑体" w:eastAsia="黑体" w:cs="Times New Roman"/>
          <w:b/>
          <w:sz w:val="32"/>
          <w:szCs w:val="32"/>
          <w:lang w:eastAsia="zh-CN"/>
        </w:rPr>
        <w:t>的</w:t>
      </w:r>
      <w:r>
        <w:rPr>
          <w:rFonts w:hint="eastAsia" w:ascii="黑体" w:hAnsi="黑体" w:eastAsia="黑体" w:cs="Times New Roman"/>
          <w:b/>
          <w:sz w:val="32"/>
          <w:szCs w:val="32"/>
        </w:rPr>
        <w:t>对象。</w:t>
      </w:r>
    </w:p>
    <w:p>
      <w:pPr>
        <w:spacing w:afterAutospacing="0" w:line="578" w:lineRule="exact"/>
        <w:ind w:firstLine="643" w:firstLineChars="200"/>
        <w:jc w:val="left"/>
        <w:rPr>
          <w:rFonts w:hint="eastAsia" w:ascii="黑体" w:hAnsi="黑体" w:eastAsia="黑体" w:cs="Times New Roman"/>
          <w:b/>
          <w:sz w:val="32"/>
          <w:szCs w:val="32"/>
        </w:rPr>
      </w:pPr>
      <w:r>
        <w:rPr>
          <w:rFonts w:hint="eastAsia" w:ascii="黑体" w:hAnsi="黑体" w:eastAsia="黑体" w:cs="Times New Roman"/>
          <w:b/>
          <w:sz w:val="32"/>
          <w:szCs w:val="32"/>
        </w:rPr>
        <w:t>第</w:t>
      </w:r>
      <w:r>
        <w:rPr>
          <w:rFonts w:hint="eastAsia" w:ascii="黑体" w:hAnsi="黑体" w:eastAsia="黑体" w:cs="Times New Roman"/>
          <w:b/>
          <w:sz w:val="32"/>
          <w:szCs w:val="32"/>
          <w:lang w:eastAsia="zh-CN"/>
        </w:rPr>
        <w:t>九</w:t>
      </w:r>
      <w:r>
        <w:rPr>
          <w:rFonts w:hint="eastAsia" w:ascii="黑体" w:hAnsi="黑体" w:eastAsia="黑体" w:cs="Times New Roman"/>
          <w:b/>
          <w:sz w:val="32"/>
          <w:szCs w:val="32"/>
        </w:rPr>
        <w:t>条</w:t>
      </w:r>
      <w:r>
        <w:rPr>
          <w:rFonts w:hint="eastAsia" w:ascii="黑体" w:hAnsi="黑体" w:eastAsia="黑体" w:cs="Times New Roman"/>
          <w:b/>
          <w:sz w:val="32"/>
          <w:szCs w:val="32"/>
          <w:lang w:val="en-US" w:eastAsia="zh-CN"/>
        </w:rPr>
        <w:t xml:space="preserve"> </w:t>
      </w:r>
      <w:r>
        <w:rPr>
          <w:rFonts w:hint="eastAsia" w:ascii="黑体" w:hAnsi="黑体" w:eastAsia="黑体" w:cs="Times New Roman"/>
          <w:b/>
          <w:sz w:val="32"/>
          <w:szCs w:val="32"/>
        </w:rPr>
        <w:t>自评对象为</w:t>
      </w:r>
      <w:r>
        <w:rPr>
          <w:rFonts w:hint="eastAsia" w:ascii="黑体" w:hAnsi="黑体" w:eastAsia="黑体" w:cs="Times New Roman"/>
          <w:b/>
          <w:sz w:val="32"/>
          <w:szCs w:val="32"/>
          <w:lang w:eastAsia="zh-CN"/>
        </w:rPr>
        <w:t>当年度按市财政局要求</w:t>
      </w:r>
      <w:r>
        <w:rPr>
          <w:rFonts w:hint="eastAsia" w:ascii="黑体" w:hAnsi="黑体" w:eastAsia="黑体" w:cs="Times New Roman"/>
          <w:b/>
          <w:sz w:val="32"/>
          <w:szCs w:val="32"/>
        </w:rPr>
        <w:t>纳入</w:t>
      </w:r>
      <w:r>
        <w:rPr>
          <w:rFonts w:hint="eastAsia" w:ascii="黑体" w:hAnsi="黑体" w:eastAsia="黑体" w:cs="Times New Roman"/>
          <w:b/>
          <w:sz w:val="32"/>
          <w:szCs w:val="32"/>
          <w:lang w:eastAsia="zh-CN"/>
        </w:rPr>
        <w:t>财政</w:t>
      </w:r>
      <w:r>
        <w:rPr>
          <w:rFonts w:hint="eastAsia" w:ascii="黑体" w:hAnsi="黑体" w:eastAsia="黑体" w:cs="Times New Roman"/>
          <w:b/>
          <w:sz w:val="32"/>
          <w:szCs w:val="32"/>
        </w:rPr>
        <w:t>预算管理的所有</w:t>
      </w:r>
      <w:r>
        <w:rPr>
          <w:rFonts w:hint="eastAsia" w:ascii="黑体" w:hAnsi="黑体" w:eastAsia="黑体" w:cs="Times New Roman"/>
          <w:b/>
          <w:sz w:val="32"/>
          <w:szCs w:val="32"/>
          <w:lang w:eastAsia="zh-CN"/>
        </w:rPr>
        <w:t>应自评的项目，包含</w:t>
      </w:r>
      <w:r>
        <w:rPr>
          <w:rFonts w:hint="eastAsia" w:ascii="黑体" w:hAnsi="黑体" w:eastAsia="黑体" w:cs="Times New Roman"/>
          <w:b/>
          <w:sz w:val="32"/>
          <w:szCs w:val="32"/>
        </w:rPr>
        <w:t>财政部门确定财政重点评价对象。</w:t>
      </w:r>
    </w:p>
    <w:p>
      <w:pPr>
        <w:spacing w:before="159" w:beforeLines="50" w:beforeAutospacing="0" w:after="159" w:afterLines="50" w:afterAutospacing="0" w:line="578" w:lineRule="exact"/>
        <w:jc w:val="center"/>
        <w:rPr>
          <w:rFonts w:hint="eastAsia" w:ascii="黑体" w:hAnsi="黑体" w:eastAsia="黑体" w:cs="Times New Roman"/>
          <w:b/>
          <w:sz w:val="32"/>
          <w:szCs w:val="32"/>
        </w:rPr>
      </w:pPr>
      <w:r>
        <w:rPr>
          <w:rFonts w:hint="eastAsia" w:ascii="黑体" w:hAnsi="黑体" w:eastAsia="黑体" w:cs="Times New Roman"/>
          <w:b/>
          <w:sz w:val="32"/>
          <w:szCs w:val="32"/>
        </w:rPr>
        <w:t>第三章  绩效评价前期准备</w:t>
      </w:r>
    </w:p>
    <w:p>
      <w:pPr>
        <w:spacing w:beforeAutospacing="0" w:line="578" w:lineRule="exact"/>
        <w:ind w:firstLine="643" w:firstLineChars="200"/>
        <w:jc w:val="left"/>
        <w:rPr>
          <w:rFonts w:hint="eastAsia" w:ascii="黑体" w:hAnsi="黑体" w:eastAsia="黑体" w:cs="Times New Roman"/>
          <w:b/>
          <w:sz w:val="32"/>
          <w:szCs w:val="32"/>
          <w:lang w:val="en-US" w:eastAsia="zh-CN"/>
        </w:rPr>
      </w:pPr>
      <w:r>
        <w:rPr>
          <w:rFonts w:hint="eastAsia" w:ascii="黑体" w:hAnsi="黑体" w:eastAsia="黑体" w:cs="Times New Roman"/>
          <w:b/>
          <w:sz w:val="32"/>
          <w:szCs w:val="32"/>
        </w:rPr>
        <w:t>第十条</w:t>
      </w:r>
      <w:r>
        <w:rPr>
          <w:rFonts w:hint="eastAsia" w:ascii="黑体" w:hAnsi="黑体" w:eastAsia="黑体" w:cs="Times New Roman"/>
          <w:b/>
          <w:sz w:val="32"/>
          <w:szCs w:val="32"/>
          <w:lang w:val="en-US" w:eastAsia="zh-CN"/>
        </w:rPr>
        <w:t xml:space="preserve"> </w:t>
      </w:r>
      <w:r>
        <w:rPr>
          <w:rFonts w:hint="eastAsia" w:ascii="黑体" w:hAnsi="黑体" w:eastAsia="黑体" w:cs="Times New Roman"/>
          <w:b/>
          <w:sz w:val="32"/>
          <w:szCs w:val="32"/>
        </w:rPr>
        <w:t>重点评价和自评的前期准备包括确定实施评价的责任主体和评价方式、确定评价重点、组织培训等步骤</w:t>
      </w:r>
      <w:r>
        <w:rPr>
          <w:rFonts w:hint="eastAsia" w:ascii="黑体" w:hAnsi="黑体" w:eastAsia="黑体" w:cs="Times New Roman"/>
          <w:b/>
          <w:sz w:val="32"/>
          <w:szCs w:val="32"/>
          <w:lang w:eastAsia="zh-CN"/>
        </w:rPr>
        <w:t>。</w:t>
      </w:r>
      <w:r>
        <w:rPr>
          <w:rFonts w:hint="eastAsia" w:ascii="黑体" w:hAnsi="黑体" w:eastAsia="黑体" w:cs="Times New Roman"/>
          <w:b/>
          <w:sz w:val="32"/>
          <w:szCs w:val="32"/>
          <w:lang w:val="en-US" w:eastAsia="zh-CN"/>
        </w:rPr>
        <w:t xml:space="preserve">  </w:t>
      </w:r>
    </w:p>
    <w:p>
      <w:pPr>
        <w:spacing w:line="578" w:lineRule="exact"/>
        <w:ind w:firstLine="643" w:firstLineChars="200"/>
        <w:jc w:val="left"/>
        <w:rPr>
          <w:rFonts w:hint="eastAsia" w:ascii="黑体" w:hAnsi="黑体" w:eastAsia="黑体" w:cs="Times New Roman"/>
          <w:b/>
          <w:sz w:val="32"/>
          <w:szCs w:val="32"/>
        </w:rPr>
      </w:pPr>
      <w:r>
        <w:rPr>
          <w:rFonts w:hint="eastAsia" w:ascii="黑体" w:hAnsi="黑体" w:eastAsia="黑体" w:cs="Times New Roman"/>
          <w:b/>
          <w:sz w:val="32"/>
          <w:szCs w:val="32"/>
        </w:rPr>
        <w:t>第十一条</w:t>
      </w:r>
      <w:r>
        <w:rPr>
          <w:rFonts w:hint="eastAsia" w:ascii="黑体" w:hAnsi="黑体" w:eastAsia="黑体" w:cs="Times New Roman"/>
          <w:b/>
          <w:sz w:val="32"/>
          <w:szCs w:val="32"/>
          <w:lang w:val="en-US" w:eastAsia="zh-CN"/>
        </w:rPr>
        <w:t xml:space="preserve"> </w:t>
      </w:r>
      <w:r>
        <w:rPr>
          <w:rFonts w:hint="eastAsia" w:ascii="黑体" w:hAnsi="黑体" w:eastAsia="黑体" w:cs="Times New Roman"/>
          <w:b/>
          <w:sz w:val="32"/>
          <w:szCs w:val="32"/>
        </w:rPr>
        <w:t>确定实施评价的责任主体和评价方式。财政部门为重点评价</w:t>
      </w:r>
      <w:r>
        <w:rPr>
          <w:rFonts w:hint="eastAsia" w:ascii="黑体" w:hAnsi="黑体" w:eastAsia="黑体" w:cs="Times New Roman"/>
          <w:b/>
          <w:sz w:val="32"/>
          <w:szCs w:val="32"/>
          <w:lang w:eastAsia="zh-CN"/>
        </w:rPr>
        <w:t>、部门整理支出绩效评价</w:t>
      </w:r>
      <w:r>
        <w:rPr>
          <w:rFonts w:hint="eastAsia" w:ascii="黑体" w:hAnsi="黑体" w:eastAsia="黑体" w:cs="Times New Roman"/>
          <w:b/>
          <w:sz w:val="32"/>
          <w:szCs w:val="32"/>
        </w:rPr>
        <w:t>实施责任主体，</w:t>
      </w:r>
      <w:r>
        <w:rPr>
          <w:rFonts w:hint="eastAsia" w:ascii="黑体" w:hAnsi="黑体" w:eastAsia="黑体" w:cs="Times New Roman"/>
          <w:b/>
          <w:sz w:val="32"/>
          <w:szCs w:val="32"/>
          <w:lang w:eastAsia="zh-CN"/>
        </w:rPr>
        <w:t>院部门为</w:t>
      </w:r>
      <w:r>
        <w:rPr>
          <w:rFonts w:hint="eastAsia" w:ascii="黑体" w:hAnsi="黑体" w:eastAsia="黑体" w:cs="Times New Roman"/>
          <w:b/>
          <w:sz w:val="32"/>
          <w:szCs w:val="32"/>
        </w:rPr>
        <w:t>自评的责任主体。</w:t>
      </w:r>
      <w:r>
        <w:rPr>
          <w:rFonts w:hint="eastAsia" w:ascii="黑体" w:hAnsi="黑体" w:eastAsia="黑体" w:cs="Times New Roman"/>
          <w:b/>
          <w:sz w:val="32"/>
          <w:szCs w:val="32"/>
          <w:lang w:eastAsia="zh-CN"/>
        </w:rPr>
        <w:t>自评</w:t>
      </w:r>
      <w:r>
        <w:rPr>
          <w:rFonts w:hint="eastAsia" w:ascii="黑体" w:hAnsi="黑体" w:eastAsia="黑体" w:cs="Times New Roman"/>
          <w:b/>
          <w:sz w:val="32"/>
          <w:szCs w:val="32"/>
        </w:rPr>
        <w:t>应明确评价的牵头</w:t>
      </w:r>
      <w:r>
        <w:rPr>
          <w:rFonts w:hint="eastAsia" w:ascii="黑体" w:hAnsi="黑体" w:eastAsia="黑体" w:cs="Times New Roman"/>
          <w:b/>
          <w:sz w:val="32"/>
          <w:szCs w:val="32"/>
          <w:lang w:eastAsia="zh-CN"/>
        </w:rPr>
        <w:t>部门</w:t>
      </w:r>
      <w:r>
        <w:rPr>
          <w:rFonts w:hint="eastAsia" w:ascii="黑体" w:hAnsi="黑体" w:eastAsia="黑体" w:cs="Times New Roman"/>
          <w:b/>
          <w:sz w:val="32"/>
          <w:szCs w:val="32"/>
        </w:rPr>
        <w:t>。牵头</w:t>
      </w:r>
      <w:r>
        <w:rPr>
          <w:rFonts w:hint="eastAsia" w:ascii="黑体" w:hAnsi="黑体" w:eastAsia="黑体" w:cs="Times New Roman"/>
          <w:b/>
          <w:sz w:val="32"/>
          <w:szCs w:val="32"/>
          <w:lang w:eastAsia="zh-CN"/>
        </w:rPr>
        <w:t>部门</w:t>
      </w:r>
      <w:r>
        <w:rPr>
          <w:rFonts w:hint="eastAsia" w:ascii="黑体" w:hAnsi="黑体" w:eastAsia="黑体" w:cs="Times New Roman"/>
          <w:b/>
          <w:sz w:val="32"/>
          <w:szCs w:val="32"/>
        </w:rPr>
        <w:t>明确评价方式，评价方式可为自行实施、聘请专家实施，聘请中介机构实施等。</w:t>
      </w:r>
    </w:p>
    <w:p>
      <w:pPr>
        <w:spacing w:line="578" w:lineRule="exact"/>
        <w:ind w:firstLine="643" w:firstLineChars="200"/>
        <w:jc w:val="left"/>
        <w:rPr>
          <w:rFonts w:hint="eastAsia" w:ascii="黑体" w:hAnsi="黑体" w:eastAsia="黑体" w:cs="Times New Roman"/>
          <w:b/>
          <w:sz w:val="32"/>
          <w:szCs w:val="32"/>
        </w:rPr>
      </w:pPr>
      <w:r>
        <w:rPr>
          <w:rFonts w:hint="eastAsia" w:ascii="黑体" w:hAnsi="黑体" w:eastAsia="黑体" w:cs="Times New Roman"/>
          <w:b/>
          <w:sz w:val="32"/>
          <w:szCs w:val="32"/>
        </w:rPr>
        <w:t>第十二条</w:t>
      </w:r>
      <w:r>
        <w:rPr>
          <w:rFonts w:hint="eastAsia" w:ascii="黑体" w:hAnsi="黑体" w:eastAsia="黑体" w:cs="Times New Roman"/>
          <w:b/>
          <w:sz w:val="32"/>
          <w:szCs w:val="32"/>
          <w:lang w:val="en-US" w:eastAsia="zh-CN"/>
        </w:rPr>
        <w:t xml:space="preserve"> </w:t>
      </w:r>
      <w:r>
        <w:rPr>
          <w:rFonts w:hint="eastAsia" w:ascii="黑体" w:hAnsi="黑体" w:eastAsia="黑体" w:cs="Times New Roman"/>
          <w:b/>
          <w:sz w:val="32"/>
          <w:szCs w:val="32"/>
        </w:rPr>
        <w:t>评价工作</w:t>
      </w:r>
      <w:r>
        <w:rPr>
          <w:rFonts w:hint="eastAsia" w:ascii="黑体" w:hAnsi="黑体" w:eastAsia="黑体" w:cs="Times New Roman"/>
          <w:b/>
          <w:sz w:val="32"/>
          <w:szCs w:val="32"/>
          <w:lang w:eastAsia="zh-CN"/>
        </w:rPr>
        <w:t>组。</w:t>
      </w:r>
    </w:p>
    <w:p>
      <w:pPr>
        <w:spacing w:line="578" w:lineRule="exact"/>
        <w:ind w:firstLine="643" w:firstLineChars="200"/>
        <w:jc w:val="left"/>
        <w:rPr>
          <w:rFonts w:hint="eastAsia" w:ascii="黑体" w:hAnsi="黑体" w:eastAsia="黑体" w:cs="Times New Roman"/>
          <w:b/>
          <w:sz w:val="32"/>
          <w:szCs w:val="32"/>
        </w:rPr>
      </w:pPr>
      <w:r>
        <w:rPr>
          <w:rFonts w:hint="eastAsia" w:ascii="黑体" w:hAnsi="黑体" w:eastAsia="黑体" w:cs="Times New Roman"/>
          <w:b/>
          <w:sz w:val="32"/>
          <w:szCs w:val="32"/>
        </w:rPr>
        <w:t>评价工作</w:t>
      </w:r>
      <w:r>
        <w:rPr>
          <w:rFonts w:hint="eastAsia" w:ascii="黑体" w:hAnsi="黑体" w:eastAsia="黑体" w:cs="Times New Roman"/>
          <w:b/>
          <w:sz w:val="32"/>
          <w:szCs w:val="32"/>
          <w:lang w:eastAsia="zh-CN"/>
        </w:rPr>
        <w:t>由预算绩效管理工作小组进行，预算绩效管理工作小组确定当年度项目实施部门为牵头部门并</w:t>
      </w:r>
      <w:r>
        <w:rPr>
          <w:rFonts w:hint="eastAsia" w:ascii="黑体" w:hAnsi="黑体" w:eastAsia="黑体" w:cs="Times New Roman"/>
          <w:b/>
          <w:sz w:val="32"/>
          <w:szCs w:val="32"/>
        </w:rPr>
        <w:t>组织</w:t>
      </w:r>
      <w:r>
        <w:rPr>
          <w:rFonts w:hint="eastAsia" w:ascii="黑体" w:hAnsi="黑体" w:eastAsia="黑体" w:cs="Times New Roman"/>
          <w:b/>
          <w:sz w:val="32"/>
          <w:szCs w:val="32"/>
          <w:lang w:eastAsia="zh-CN"/>
        </w:rPr>
        <w:t>具体成员形成评价工作组进行</w:t>
      </w:r>
      <w:r>
        <w:rPr>
          <w:rFonts w:hint="eastAsia" w:ascii="黑体" w:hAnsi="黑体" w:eastAsia="黑体" w:cs="Times New Roman"/>
          <w:b/>
          <w:sz w:val="32"/>
          <w:szCs w:val="32"/>
        </w:rPr>
        <w:t>评价，</w:t>
      </w:r>
      <w:r>
        <w:rPr>
          <w:rFonts w:hint="eastAsia" w:ascii="黑体" w:hAnsi="黑体" w:eastAsia="黑体" w:cs="Times New Roman"/>
          <w:b/>
          <w:sz w:val="32"/>
          <w:szCs w:val="32"/>
          <w:lang w:eastAsia="zh-CN"/>
        </w:rPr>
        <w:t>具体成员</w:t>
      </w:r>
      <w:r>
        <w:rPr>
          <w:rFonts w:hint="eastAsia" w:ascii="黑体" w:hAnsi="黑体" w:eastAsia="黑体" w:cs="Times New Roman"/>
          <w:b/>
          <w:sz w:val="32"/>
          <w:szCs w:val="32"/>
        </w:rPr>
        <w:t>可由</w:t>
      </w:r>
      <w:r>
        <w:rPr>
          <w:rFonts w:hint="eastAsia" w:ascii="黑体" w:hAnsi="黑体" w:eastAsia="黑体" w:cs="Times New Roman"/>
          <w:b/>
          <w:sz w:val="32"/>
          <w:szCs w:val="32"/>
          <w:lang w:eastAsia="zh-CN"/>
        </w:rPr>
        <w:t>部门</w:t>
      </w:r>
      <w:r>
        <w:rPr>
          <w:rFonts w:hint="eastAsia" w:ascii="黑体" w:hAnsi="黑体" w:eastAsia="黑体" w:cs="Times New Roman"/>
          <w:b/>
          <w:sz w:val="32"/>
          <w:szCs w:val="32"/>
        </w:rPr>
        <w:t>相关工作人员、聘请的中介机构工作人员、专家等组成。</w:t>
      </w:r>
      <w:r>
        <w:rPr>
          <w:rFonts w:hint="eastAsia" w:ascii="黑体" w:hAnsi="黑体" w:eastAsia="黑体" w:cs="Times New Roman"/>
          <w:b/>
          <w:sz w:val="32"/>
          <w:szCs w:val="32"/>
          <w:lang w:eastAsia="zh-CN"/>
        </w:rPr>
        <w:t>评价</w:t>
      </w:r>
      <w:r>
        <w:rPr>
          <w:rFonts w:hint="eastAsia" w:ascii="黑体" w:hAnsi="黑体" w:eastAsia="黑体" w:cs="Times New Roman"/>
          <w:b/>
          <w:sz w:val="32"/>
          <w:szCs w:val="32"/>
        </w:rPr>
        <w:t>成员应熟悉绩效评价业务，了解相关行业领域的专业知识，具备一定的综合分析能力和文字能力。</w:t>
      </w:r>
    </w:p>
    <w:p>
      <w:pPr>
        <w:spacing w:line="578" w:lineRule="exact"/>
        <w:ind w:firstLine="643" w:firstLineChars="200"/>
        <w:jc w:val="left"/>
        <w:rPr>
          <w:rFonts w:hint="eastAsia" w:ascii="黑体" w:hAnsi="黑体" w:eastAsia="黑体" w:cs="Times New Roman"/>
          <w:b/>
          <w:sz w:val="32"/>
          <w:szCs w:val="32"/>
        </w:rPr>
      </w:pPr>
      <w:r>
        <w:rPr>
          <w:rFonts w:hint="eastAsia" w:ascii="黑体" w:hAnsi="黑体" w:eastAsia="黑体" w:cs="Times New Roman"/>
          <w:b/>
          <w:sz w:val="32"/>
          <w:szCs w:val="32"/>
        </w:rPr>
        <w:t>第十三条</w:t>
      </w:r>
      <w:r>
        <w:rPr>
          <w:rFonts w:hint="eastAsia" w:ascii="黑体" w:hAnsi="黑体" w:eastAsia="黑体" w:cs="Times New Roman"/>
          <w:b/>
          <w:sz w:val="32"/>
          <w:szCs w:val="32"/>
          <w:lang w:val="en-US" w:eastAsia="zh-CN"/>
        </w:rPr>
        <w:t xml:space="preserve"> </w:t>
      </w:r>
      <w:r>
        <w:rPr>
          <w:rFonts w:hint="eastAsia" w:ascii="黑体" w:hAnsi="黑体" w:eastAsia="黑体" w:cs="Times New Roman"/>
          <w:b/>
          <w:sz w:val="32"/>
          <w:szCs w:val="32"/>
        </w:rPr>
        <w:t>确定评价重点。</w:t>
      </w:r>
    </w:p>
    <w:p>
      <w:pPr>
        <w:spacing w:line="578" w:lineRule="exact"/>
        <w:ind w:firstLine="643" w:firstLineChars="200"/>
        <w:jc w:val="left"/>
        <w:rPr>
          <w:rFonts w:hint="eastAsia" w:ascii="黑体" w:hAnsi="黑体" w:eastAsia="黑体" w:cs="Times New Roman"/>
          <w:b/>
          <w:sz w:val="32"/>
          <w:szCs w:val="32"/>
        </w:rPr>
      </w:pPr>
      <w:r>
        <w:rPr>
          <w:rFonts w:hint="eastAsia" w:ascii="黑体" w:hAnsi="黑体" w:eastAsia="黑体" w:cs="Times New Roman"/>
          <w:b/>
          <w:sz w:val="32"/>
          <w:szCs w:val="32"/>
        </w:rPr>
        <w:t>评价牵头</w:t>
      </w:r>
      <w:r>
        <w:rPr>
          <w:rFonts w:hint="eastAsia" w:ascii="黑体" w:hAnsi="黑体" w:eastAsia="黑体" w:cs="Times New Roman"/>
          <w:b/>
          <w:sz w:val="32"/>
          <w:szCs w:val="32"/>
          <w:lang w:eastAsia="zh-CN"/>
        </w:rPr>
        <w:t>部门</w:t>
      </w:r>
      <w:r>
        <w:rPr>
          <w:rFonts w:hint="eastAsia" w:ascii="黑体" w:hAnsi="黑体" w:eastAsia="黑体" w:cs="Times New Roman"/>
          <w:b/>
          <w:sz w:val="32"/>
          <w:szCs w:val="32"/>
        </w:rPr>
        <w:t>应根据不同的评价对象确定评价重点，对项目进度、预算执行、投入产出、各项效益的阶段完成情况进行动态跟踪监控、监督检查和纠偏处理、改进完善</w:t>
      </w:r>
      <w:r>
        <w:rPr>
          <w:rFonts w:hint="eastAsia" w:ascii="黑体" w:hAnsi="黑体" w:eastAsia="黑体" w:cs="Times New Roman"/>
          <w:b/>
          <w:sz w:val="32"/>
          <w:szCs w:val="32"/>
          <w:lang w:eastAsia="zh-CN"/>
        </w:rPr>
        <w:t>，</w:t>
      </w:r>
      <w:r>
        <w:rPr>
          <w:rFonts w:hint="eastAsia" w:ascii="黑体" w:hAnsi="黑体" w:eastAsia="黑体" w:cs="Times New Roman"/>
          <w:b/>
          <w:sz w:val="32"/>
          <w:szCs w:val="32"/>
        </w:rPr>
        <w:t>主要关注以下内容：项目阶段性完成的数量、质量、时效、成本等情况，相关指标是否正常合理，与预期目标契合程度、偏离程度；项目预期的经济效益、社会效益、生态效益、可持续性以及满意度指标的实现程度及趋势等；项目需求的条件和环境是否发生实质性变化，项目设计或实施方案是否发生了调整，是否需对绩效目标和指标值调整；项目绩效偏离的主要原因及采取的应对措施；项目管理和预算绩效管理制度是否建立健全和切实可行，是否落实执行到位；项目预算资金执行情况及预计结转结余情况，是否需要通过预算调整程序申请对项目预算资金进行合理调整；项目绩效管理是否采取了一些创新措施，是否有值得借鉴和推广管理经验，分析项目的质量、时效、成本、效益</w:t>
      </w:r>
      <w:r>
        <w:rPr>
          <w:rFonts w:hint="eastAsia" w:ascii="黑体" w:hAnsi="黑体" w:eastAsia="黑体" w:cs="Times New Roman"/>
          <w:b/>
          <w:sz w:val="32"/>
          <w:szCs w:val="32"/>
          <w:lang w:eastAsia="zh-CN"/>
        </w:rPr>
        <w:t>等</w:t>
      </w:r>
      <w:r>
        <w:rPr>
          <w:rFonts w:hint="eastAsia" w:ascii="黑体" w:hAnsi="黑体" w:eastAsia="黑体" w:cs="Times New Roman"/>
          <w:b/>
          <w:sz w:val="32"/>
          <w:szCs w:val="32"/>
        </w:rPr>
        <w:t>。</w:t>
      </w:r>
    </w:p>
    <w:p>
      <w:pPr>
        <w:spacing w:line="578" w:lineRule="exact"/>
        <w:ind w:firstLine="643" w:firstLineChars="200"/>
        <w:jc w:val="left"/>
        <w:rPr>
          <w:rFonts w:hint="eastAsia" w:ascii="黑体" w:hAnsi="黑体" w:eastAsia="黑体" w:cs="Times New Roman"/>
          <w:b/>
          <w:sz w:val="32"/>
          <w:szCs w:val="32"/>
        </w:rPr>
      </w:pPr>
      <w:r>
        <w:rPr>
          <w:rFonts w:hint="eastAsia" w:ascii="黑体" w:hAnsi="黑体" w:eastAsia="黑体" w:cs="Times New Roman"/>
          <w:b/>
          <w:sz w:val="32"/>
          <w:szCs w:val="32"/>
        </w:rPr>
        <w:t>第十四条</w:t>
      </w:r>
      <w:r>
        <w:rPr>
          <w:rFonts w:hint="eastAsia" w:ascii="黑体" w:hAnsi="黑体" w:eastAsia="黑体" w:cs="Times New Roman"/>
          <w:b/>
          <w:sz w:val="32"/>
          <w:szCs w:val="32"/>
          <w:lang w:val="en-US" w:eastAsia="zh-CN"/>
        </w:rPr>
        <w:t xml:space="preserve"> </w:t>
      </w:r>
      <w:r>
        <w:rPr>
          <w:rFonts w:hint="eastAsia" w:ascii="黑体" w:hAnsi="黑体" w:eastAsia="黑体" w:cs="Times New Roman"/>
          <w:b/>
          <w:sz w:val="32"/>
          <w:szCs w:val="32"/>
        </w:rPr>
        <w:t>组织培训。</w:t>
      </w:r>
    </w:p>
    <w:p>
      <w:pPr>
        <w:spacing w:afterAutospacing="0" w:line="578" w:lineRule="exact"/>
        <w:ind w:firstLine="643" w:firstLineChars="200"/>
        <w:jc w:val="left"/>
        <w:rPr>
          <w:rFonts w:hint="eastAsia" w:ascii="黑体" w:hAnsi="黑体" w:eastAsia="黑体" w:cs="Times New Roman"/>
          <w:b/>
          <w:sz w:val="32"/>
          <w:szCs w:val="32"/>
        </w:rPr>
      </w:pPr>
      <w:r>
        <w:rPr>
          <w:rFonts w:hint="eastAsia" w:ascii="黑体" w:hAnsi="黑体" w:eastAsia="黑体" w:cs="Times New Roman"/>
          <w:b/>
          <w:sz w:val="32"/>
          <w:szCs w:val="32"/>
          <w:lang w:eastAsia="zh-CN"/>
        </w:rPr>
        <w:t>评价工作组</w:t>
      </w:r>
      <w:r>
        <w:rPr>
          <w:rFonts w:hint="eastAsia" w:ascii="黑体" w:hAnsi="黑体" w:eastAsia="黑体" w:cs="Times New Roman"/>
          <w:b/>
          <w:sz w:val="32"/>
          <w:szCs w:val="32"/>
        </w:rPr>
        <w:t>应对评价工作成员实施相关培训，培训内容包括绩效评价目的和目标、工作要求、评价对象基本情况、评价重点和关键点、工作纪律及其他要求。</w:t>
      </w:r>
    </w:p>
    <w:p>
      <w:pPr>
        <w:spacing w:before="159" w:beforeLines="50" w:beforeAutospacing="0" w:after="159" w:afterLines="50" w:afterAutospacing="0" w:line="578" w:lineRule="exact"/>
        <w:jc w:val="center"/>
        <w:rPr>
          <w:rFonts w:hint="eastAsia" w:ascii="黑体" w:hAnsi="黑体" w:eastAsia="黑体" w:cs="Times New Roman"/>
          <w:b/>
          <w:sz w:val="32"/>
          <w:szCs w:val="32"/>
        </w:rPr>
      </w:pPr>
      <w:r>
        <w:rPr>
          <w:rFonts w:hint="eastAsia" w:ascii="黑体" w:hAnsi="黑体" w:eastAsia="黑体" w:cs="Times New Roman"/>
          <w:b/>
          <w:sz w:val="32"/>
          <w:szCs w:val="32"/>
        </w:rPr>
        <w:t>第四章 绩效评价组织实施</w:t>
      </w:r>
    </w:p>
    <w:p>
      <w:pPr>
        <w:spacing w:beforeAutospacing="0" w:line="578" w:lineRule="exact"/>
        <w:ind w:firstLine="643" w:firstLineChars="200"/>
        <w:jc w:val="left"/>
        <w:rPr>
          <w:rFonts w:hint="eastAsia" w:ascii="黑体" w:hAnsi="黑体" w:eastAsia="黑体" w:cs="Times New Roman"/>
          <w:b/>
          <w:sz w:val="32"/>
          <w:szCs w:val="32"/>
        </w:rPr>
      </w:pPr>
      <w:r>
        <w:rPr>
          <w:rFonts w:hint="eastAsia" w:ascii="黑体" w:hAnsi="黑体" w:eastAsia="黑体" w:cs="Times New Roman"/>
          <w:b/>
          <w:sz w:val="32"/>
          <w:szCs w:val="32"/>
        </w:rPr>
        <w:t>第十</w:t>
      </w:r>
      <w:r>
        <w:rPr>
          <w:rFonts w:hint="eastAsia" w:ascii="黑体" w:hAnsi="黑体" w:eastAsia="黑体" w:cs="Times New Roman"/>
          <w:b/>
          <w:sz w:val="32"/>
          <w:szCs w:val="32"/>
          <w:lang w:eastAsia="zh-CN"/>
        </w:rPr>
        <w:t>五</w:t>
      </w:r>
      <w:r>
        <w:rPr>
          <w:rFonts w:hint="eastAsia" w:ascii="黑体" w:hAnsi="黑体" w:eastAsia="黑体" w:cs="Times New Roman"/>
          <w:b/>
          <w:sz w:val="32"/>
          <w:szCs w:val="32"/>
        </w:rPr>
        <w:t>条</w:t>
      </w:r>
      <w:r>
        <w:rPr>
          <w:rFonts w:hint="eastAsia" w:ascii="黑体" w:hAnsi="黑体" w:eastAsia="黑体" w:cs="Times New Roman"/>
          <w:b/>
          <w:sz w:val="32"/>
          <w:szCs w:val="32"/>
          <w:lang w:val="en-US" w:eastAsia="zh-CN"/>
        </w:rPr>
        <w:t xml:space="preserve"> </w:t>
      </w:r>
      <w:r>
        <w:rPr>
          <w:rFonts w:hint="eastAsia" w:ascii="黑体" w:hAnsi="黑体" w:eastAsia="黑体" w:cs="Times New Roman"/>
          <w:b/>
          <w:sz w:val="32"/>
          <w:szCs w:val="32"/>
        </w:rPr>
        <w:t>重点评价和自评价组织实施包括调研沟通、收集评价资料、确定指标体系、明确绩效评价方法、形成评价工作方案、现场核查、对照指标体系打分、评价分析等步骤。</w:t>
      </w:r>
    </w:p>
    <w:p>
      <w:pPr>
        <w:spacing w:line="578" w:lineRule="exact"/>
        <w:ind w:firstLine="643" w:firstLineChars="200"/>
        <w:jc w:val="left"/>
        <w:rPr>
          <w:rFonts w:hint="eastAsia" w:ascii="黑体" w:hAnsi="黑体" w:eastAsia="黑体" w:cs="Times New Roman"/>
          <w:b/>
          <w:sz w:val="32"/>
          <w:szCs w:val="32"/>
        </w:rPr>
      </w:pPr>
      <w:r>
        <w:rPr>
          <w:rFonts w:hint="eastAsia" w:ascii="黑体" w:hAnsi="黑体" w:eastAsia="黑体" w:cs="Times New Roman"/>
          <w:b/>
          <w:sz w:val="32"/>
          <w:szCs w:val="32"/>
        </w:rPr>
        <w:t>第十</w:t>
      </w:r>
      <w:r>
        <w:rPr>
          <w:rFonts w:hint="eastAsia" w:ascii="黑体" w:hAnsi="黑体" w:eastAsia="黑体" w:cs="Times New Roman"/>
          <w:b/>
          <w:sz w:val="32"/>
          <w:szCs w:val="32"/>
          <w:lang w:eastAsia="zh-CN"/>
        </w:rPr>
        <w:t>六</w:t>
      </w:r>
      <w:r>
        <w:rPr>
          <w:rFonts w:hint="eastAsia" w:ascii="黑体" w:hAnsi="黑体" w:eastAsia="黑体" w:cs="Times New Roman"/>
          <w:b/>
          <w:sz w:val="32"/>
          <w:szCs w:val="32"/>
        </w:rPr>
        <w:t>条</w:t>
      </w:r>
      <w:r>
        <w:rPr>
          <w:rFonts w:hint="eastAsia" w:ascii="黑体" w:hAnsi="黑体" w:eastAsia="黑体" w:cs="Times New Roman"/>
          <w:b/>
          <w:sz w:val="32"/>
          <w:szCs w:val="32"/>
          <w:lang w:val="en-US" w:eastAsia="zh-CN"/>
        </w:rPr>
        <w:t xml:space="preserve"> </w:t>
      </w:r>
      <w:r>
        <w:rPr>
          <w:rFonts w:hint="eastAsia" w:ascii="黑体" w:hAnsi="黑体" w:eastAsia="黑体" w:cs="Times New Roman"/>
          <w:b/>
          <w:sz w:val="32"/>
          <w:szCs w:val="32"/>
        </w:rPr>
        <w:t>收集评价资料。</w:t>
      </w:r>
    </w:p>
    <w:p>
      <w:pPr>
        <w:spacing w:line="578" w:lineRule="exact"/>
        <w:ind w:firstLine="643" w:firstLineChars="200"/>
        <w:jc w:val="left"/>
        <w:rPr>
          <w:rFonts w:hint="eastAsia" w:ascii="黑体" w:hAnsi="黑体" w:eastAsia="黑体" w:cs="Times New Roman"/>
          <w:b/>
          <w:sz w:val="32"/>
          <w:szCs w:val="32"/>
        </w:rPr>
      </w:pPr>
      <w:r>
        <w:rPr>
          <w:rFonts w:hint="eastAsia" w:ascii="黑体" w:hAnsi="黑体" w:eastAsia="黑体" w:cs="Times New Roman"/>
          <w:b/>
          <w:sz w:val="32"/>
          <w:szCs w:val="32"/>
        </w:rPr>
        <w:t>评价工作组应根据评价重点和工作需求，多渠道全面收集评价基础资料。包括项目政策的实施方案和基本情况；中长期规划；相关资金的预算、安排明细、使用情况和管理办法；各类制度和保障措施建立和运行情况；</w:t>
      </w:r>
      <w:r>
        <w:rPr>
          <w:rFonts w:hint="eastAsia" w:ascii="黑体" w:hAnsi="黑体" w:eastAsia="黑体" w:cs="Times New Roman"/>
          <w:b/>
          <w:sz w:val="32"/>
          <w:szCs w:val="32"/>
          <w:lang w:eastAsia="zh-CN"/>
        </w:rPr>
        <w:t>事中绩效监控情况、</w:t>
      </w:r>
      <w:r>
        <w:rPr>
          <w:rFonts w:hint="eastAsia" w:ascii="黑体" w:hAnsi="黑体" w:eastAsia="黑体" w:cs="Times New Roman"/>
          <w:b/>
          <w:sz w:val="32"/>
          <w:szCs w:val="32"/>
        </w:rPr>
        <w:t>绩效目标、年度审计、往年绩效评价报告、工作总结情况等。</w:t>
      </w:r>
    </w:p>
    <w:p>
      <w:pPr>
        <w:spacing w:line="578" w:lineRule="exact"/>
        <w:ind w:firstLine="643" w:firstLineChars="200"/>
        <w:jc w:val="left"/>
        <w:rPr>
          <w:rFonts w:hint="eastAsia" w:ascii="黑体" w:hAnsi="黑体" w:eastAsia="黑体" w:cs="Times New Roman"/>
          <w:b/>
          <w:sz w:val="32"/>
          <w:szCs w:val="32"/>
        </w:rPr>
      </w:pPr>
      <w:r>
        <w:rPr>
          <w:rFonts w:hint="eastAsia" w:ascii="黑体" w:hAnsi="黑体" w:eastAsia="黑体" w:cs="Times New Roman"/>
          <w:b/>
          <w:sz w:val="32"/>
          <w:szCs w:val="32"/>
        </w:rPr>
        <w:t>第十</w:t>
      </w:r>
      <w:r>
        <w:rPr>
          <w:rFonts w:hint="eastAsia" w:ascii="黑体" w:hAnsi="黑体" w:eastAsia="黑体" w:cs="Times New Roman"/>
          <w:b/>
          <w:sz w:val="32"/>
          <w:szCs w:val="32"/>
          <w:lang w:eastAsia="zh-CN"/>
        </w:rPr>
        <w:t>七</w:t>
      </w:r>
      <w:r>
        <w:rPr>
          <w:rFonts w:hint="eastAsia" w:ascii="黑体" w:hAnsi="黑体" w:eastAsia="黑体" w:cs="Times New Roman"/>
          <w:b/>
          <w:sz w:val="32"/>
          <w:szCs w:val="32"/>
        </w:rPr>
        <w:t>条</w:t>
      </w:r>
      <w:r>
        <w:rPr>
          <w:rFonts w:hint="eastAsia" w:ascii="黑体" w:hAnsi="黑体" w:eastAsia="黑体" w:cs="Times New Roman"/>
          <w:b/>
          <w:sz w:val="32"/>
          <w:szCs w:val="32"/>
          <w:lang w:val="en-US" w:eastAsia="zh-CN"/>
        </w:rPr>
        <w:t xml:space="preserve"> </w:t>
      </w:r>
      <w:r>
        <w:rPr>
          <w:rFonts w:hint="eastAsia" w:ascii="黑体" w:hAnsi="黑体" w:eastAsia="黑体" w:cs="Times New Roman"/>
          <w:b/>
          <w:sz w:val="32"/>
          <w:szCs w:val="32"/>
        </w:rPr>
        <w:t>明确绩效评价方法。</w:t>
      </w:r>
    </w:p>
    <w:p>
      <w:pPr>
        <w:spacing w:line="578" w:lineRule="exact"/>
        <w:ind w:firstLine="643" w:firstLineChars="200"/>
        <w:jc w:val="left"/>
        <w:rPr>
          <w:rFonts w:hint="eastAsia" w:ascii="黑体" w:hAnsi="黑体" w:eastAsia="黑体" w:cs="Times New Roman"/>
          <w:b/>
          <w:sz w:val="32"/>
          <w:szCs w:val="32"/>
        </w:rPr>
      </w:pPr>
      <w:r>
        <w:rPr>
          <w:rFonts w:hint="eastAsia" w:ascii="黑体" w:hAnsi="黑体" w:eastAsia="黑体" w:cs="Times New Roman"/>
          <w:b/>
          <w:sz w:val="32"/>
          <w:szCs w:val="32"/>
        </w:rPr>
        <w:t>评价工作组应根据</w:t>
      </w:r>
      <w:r>
        <w:rPr>
          <w:rFonts w:hint="eastAsia" w:ascii="黑体" w:hAnsi="黑体" w:eastAsia="黑体" w:cs="Times New Roman"/>
          <w:b/>
          <w:sz w:val="32"/>
          <w:szCs w:val="32"/>
          <w:lang w:eastAsia="zh-CN"/>
        </w:rPr>
        <w:t>收集的资料</w:t>
      </w:r>
      <w:r>
        <w:rPr>
          <w:rFonts w:hint="eastAsia" w:ascii="黑体" w:hAnsi="黑体" w:eastAsia="黑体" w:cs="Times New Roman"/>
          <w:b/>
          <w:sz w:val="32"/>
          <w:szCs w:val="32"/>
        </w:rPr>
        <w:t>和工作特点明确简单有</w:t>
      </w:r>
      <w:bookmarkStart w:id="0" w:name="_GoBack"/>
      <w:bookmarkEnd w:id="0"/>
      <w:r>
        <w:rPr>
          <w:rFonts w:hint="eastAsia" w:ascii="黑体" w:hAnsi="黑体" w:eastAsia="黑体" w:cs="Times New Roman"/>
          <w:b/>
          <w:sz w:val="32"/>
          <w:szCs w:val="32"/>
        </w:rPr>
        <w:t>效的评价方法。通常有成本效益分析法、比较法、因素分析法、最低成本法、公众评判法、标杆管理法等。</w:t>
      </w:r>
    </w:p>
    <w:p>
      <w:pPr>
        <w:spacing w:line="578" w:lineRule="exact"/>
        <w:ind w:firstLine="643" w:firstLineChars="200"/>
        <w:jc w:val="left"/>
        <w:rPr>
          <w:rFonts w:hint="eastAsia" w:ascii="黑体" w:hAnsi="黑体" w:eastAsia="黑体" w:cs="Times New Roman"/>
          <w:b/>
          <w:sz w:val="32"/>
          <w:szCs w:val="32"/>
        </w:rPr>
      </w:pPr>
      <w:r>
        <w:rPr>
          <w:rFonts w:hint="eastAsia" w:ascii="黑体" w:hAnsi="黑体" w:eastAsia="黑体" w:cs="Times New Roman"/>
          <w:b/>
          <w:sz w:val="32"/>
          <w:szCs w:val="32"/>
        </w:rPr>
        <w:t>第</w:t>
      </w:r>
      <w:r>
        <w:rPr>
          <w:rFonts w:hint="eastAsia" w:ascii="黑体" w:hAnsi="黑体" w:eastAsia="黑体" w:cs="Times New Roman"/>
          <w:b/>
          <w:sz w:val="32"/>
          <w:szCs w:val="32"/>
          <w:lang w:eastAsia="zh-CN"/>
        </w:rPr>
        <w:t>十八</w:t>
      </w:r>
      <w:r>
        <w:rPr>
          <w:rFonts w:hint="eastAsia" w:ascii="黑体" w:hAnsi="黑体" w:eastAsia="黑体" w:cs="Times New Roman"/>
          <w:b/>
          <w:sz w:val="32"/>
          <w:szCs w:val="32"/>
        </w:rPr>
        <w:t>条</w:t>
      </w:r>
      <w:r>
        <w:rPr>
          <w:rFonts w:hint="eastAsia" w:ascii="黑体" w:hAnsi="黑体" w:eastAsia="黑体" w:cs="Times New Roman"/>
          <w:b/>
          <w:sz w:val="32"/>
          <w:szCs w:val="32"/>
          <w:lang w:val="en-US" w:eastAsia="zh-CN"/>
        </w:rPr>
        <w:t xml:space="preserve"> </w:t>
      </w:r>
      <w:r>
        <w:rPr>
          <w:rFonts w:hint="eastAsia" w:ascii="黑体" w:hAnsi="黑体" w:eastAsia="黑体" w:cs="Times New Roman"/>
          <w:b/>
          <w:sz w:val="32"/>
          <w:szCs w:val="32"/>
        </w:rPr>
        <w:t>现场核查。</w:t>
      </w:r>
    </w:p>
    <w:p>
      <w:pPr>
        <w:spacing w:line="578" w:lineRule="exact"/>
        <w:ind w:firstLine="643" w:firstLineChars="200"/>
        <w:jc w:val="left"/>
        <w:rPr>
          <w:rFonts w:hint="eastAsia" w:ascii="黑体" w:hAnsi="黑体" w:eastAsia="黑体" w:cs="Times New Roman"/>
          <w:b/>
          <w:sz w:val="32"/>
          <w:szCs w:val="32"/>
        </w:rPr>
      </w:pPr>
      <w:r>
        <w:rPr>
          <w:rFonts w:hint="eastAsia" w:ascii="黑体" w:hAnsi="黑体" w:eastAsia="黑体" w:cs="Times New Roman"/>
          <w:b/>
          <w:sz w:val="32"/>
          <w:szCs w:val="32"/>
        </w:rPr>
        <w:t>根据</w:t>
      </w:r>
      <w:r>
        <w:rPr>
          <w:rFonts w:hint="eastAsia" w:ascii="黑体" w:hAnsi="黑体" w:eastAsia="黑体" w:cs="Times New Roman"/>
          <w:b/>
          <w:sz w:val="32"/>
          <w:szCs w:val="32"/>
          <w:lang w:eastAsia="zh-CN"/>
        </w:rPr>
        <w:t>评价内容，</w:t>
      </w:r>
      <w:r>
        <w:rPr>
          <w:rFonts w:hint="eastAsia" w:ascii="黑体" w:hAnsi="黑体" w:eastAsia="黑体" w:cs="Times New Roman"/>
          <w:b/>
          <w:sz w:val="32"/>
          <w:szCs w:val="32"/>
        </w:rPr>
        <w:t>评价工作组通过现场勘查、文献研究、座谈研讨、数据收集、个人访谈、问卷调查等方式，对有关情况进行调查、核实，对有关问题作进一步了解，收集绩效评价所需信息内容。</w:t>
      </w:r>
    </w:p>
    <w:p>
      <w:pPr>
        <w:spacing w:line="578" w:lineRule="exact"/>
        <w:ind w:firstLine="643" w:firstLineChars="200"/>
        <w:jc w:val="left"/>
        <w:rPr>
          <w:rFonts w:hint="eastAsia" w:ascii="黑体" w:hAnsi="黑体" w:eastAsia="黑体" w:cs="Times New Roman"/>
          <w:b/>
          <w:sz w:val="32"/>
          <w:szCs w:val="32"/>
        </w:rPr>
      </w:pPr>
      <w:r>
        <w:rPr>
          <w:rFonts w:hint="eastAsia" w:ascii="黑体" w:hAnsi="黑体" w:eastAsia="黑体" w:cs="Times New Roman"/>
          <w:b/>
          <w:sz w:val="32"/>
          <w:szCs w:val="32"/>
        </w:rPr>
        <w:t>第</w:t>
      </w:r>
      <w:r>
        <w:rPr>
          <w:rFonts w:hint="eastAsia" w:ascii="黑体" w:hAnsi="黑体" w:eastAsia="黑体" w:cs="Times New Roman"/>
          <w:b/>
          <w:sz w:val="32"/>
          <w:szCs w:val="32"/>
          <w:lang w:eastAsia="zh-CN"/>
        </w:rPr>
        <w:t>十九</w:t>
      </w:r>
      <w:r>
        <w:rPr>
          <w:rFonts w:hint="eastAsia" w:ascii="黑体" w:hAnsi="黑体" w:eastAsia="黑体" w:cs="Times New Roman"/>
          <w:b/>
          <w:sz w:val="32"/>
          <w:szCs w:val="32"/>
        </w:rPr>
        <w:t>条</w:t>
      </w:r>
      <w:r>
        <w:rPr>
          <w:rFonts w:hint="eastAsia" w:ascii="黑体" w:hAnsi="黑体" w:eastAsia="黑体" w:cs="Times New Roman"/>
          <w:b/>
          <w:sz w:val="32"/>
          <w:szCs w:val="32"/>
          <w:lang w:val="en-US" w:eastAsia="zh-CN"/>
        </w:rPr>
        <w:t xml:space="preserve"> </w:t>
      </w:r>
      <w:r>
        <w:rPr>
          <w:rFonts w:hint="eastAsia" w:ascii="黑体" w:hAnsi="黑体" w:eastAsia="黑体" w:cs="Times New Roman"/>
          <w:b/>
          <w:sz w:val="32"/>
          <w:szCs w:val="32"/>
        </w:rPr>
        <w:t>对照指标体系打分。</w:t>
      </w:r>
    </w:p>
    <w:p>
      <w:pPr>
        <w:spacing w:line="578" w:lineRule="exact"/>
        <w:ind w:firstLine="643" w:firstLineChars="200"/>
        <w:jc w:val="left"/>
        <w:rPr>
          <w:rFonts w:hint="eastAsia" w:ascii="黑体" w:hAnsi="黑体" w:eastAsia="黑体" w:cs="Times New Roman"/>
          <w:b/>
          <w:sz w:val="32"/>
          <w:szCs w:val="32"/>
        </w:rPr>
      </w:pPr>
      <w:r>
        <w:rPr>
          <w:rFonts w:hint="eastAsia" w:ascii="黑体" w:hAnsi="黑体" w:eastAsia="黑体" w:cs="Times New Roman"/>
          <w:b/>
          <w:sz w:val="32"/>
          <w:szCs w:val="32"/>
        </w:rPr>
        <w:t>评价工作组利用归集的信息和资料，对照评价指标体系进行独立、客观和公正的打分。</w:t>
      </w:r>
    </w:p>
    <w:p>
      <w:pPr>
        <w:spacing w:line="578" w:lineRule="exact"/>
        <w:ind w:firstLine="643" w:firstLineChars="200"/>
        <w:jc w:val="left"/>
        <w:rPr>
          <w:rFonts w:hint="eastAsia" w:ascii="黑体" w:hAnsi="黑体" w:eastAsia="黑体" w:cs="Times New Roman"/>
          <w:b/>
          <w:sz w:val="32"/>
          <w:szCs w:val="32"/>
        </w:rPr>
      </w:pPr>
      <w:r>
        <w:rPr>
          <w:rFonts w:hint="eastAsia" w:ascii="黑体" w:hAnsi="黑体" w:eastAsia="黑体" w:cs="Times New Roman"/>
          <w:b/>
          <w:sz w:val="32"/>
          <w:szCs w:val="32"/>
        </w:rPr>
        <w:t>定量指标得分按照以下方法评定：完成指标值的，记该指标所赋全部分值；对完成值高于指标值较多的，要分析原因，如果是由于项目、政策或部门整体指标值设定明显偏低造成的，要按照偏离度适当调减分值；未完成指标值的，按照完成值和指标值的比例计分。</w:t>
      </w:r>
    </w:p>
    <w:p>
      <w:pPr>
        <w:spacing w:line="578" w:lineRule="exact"/>
        <w:ind w:firstLine="643" w:firstLineChars="200"/>
        <w:jc w:val="left"/>
        <w:rPr>
          <w:rFonts w:hint="eastAsia" w:ascii="黑体" w:hAnsi="黑体" w:eastAsia="黑体" w:cs="Times New Roman"/>
          <w:b/>
          <w:sz w:val="32"/>
          <w:szCs w:val="32"/>
        </w:rPr>
      </w:pPr>
      <w:r>
        <w:rPr>
          <w:rFonts w:hint="eastAsia" w:ascii="黑体" w:hAnsi="黑体" w:eastAsia="黑体" w:cs="Times New Roman"/>
          <w:b/>
          <w:sz w:val="32"/>
          <w:szCs w:val="32"/>
        </w:rPr>
        <w:t>定性指标得分按照以下方法评定：根据指标完成情况分为达成年度指标、部分达成年度指标并具有一定效果、未达成年度指标且效果较差三档，分别按照该指标对应分值区间100%-80%（含）、80%-60%（含）、60%以下合理确定分值。</w:t>
      </w:r>
    </w:p>
    <w:p>
      <w:pPr>
        <w:spacing w:line="578" w:lineRule="exact"/>
        <w:ind w:firstLine="643" w:firstLineChars="200"/>
        <w:jc w:val="left"/>
        <w:rPr>
          <w:rFonts w:hint="eastAsia" w:ascii="黑体" w:hAnsi="黑体" w:eastAsia="黑体" w:cs="Times New Roman"/>
          <w:b/>
          <w:sz w:val="32"/>
          <w:szCs w:val="32"/>
        </w:rPr>
      </w:pPr>
      <w:r>
        <w:rPr>
          <w:rFonts w:hint="eastAsia" w:ascii="黑体" w:hAnsi="黑体" w:eastAsia="黑体" w:cs="Times New Roman"/>
          <w:b/>
          <w:sz w:val="32"/>
          <w:szCs w:val="32"/>
        </w:rPr>
        <w:t>第二十条</w:t>
      </w:r>
      <w:r>
        <w:rPr>
          <w:rFonts w:hint="eastAsia" w:ascii="黑体" w:hAnsi="黑体" w:eastAsia="黑体" w:cs="Times New Roman"/>
          <w:b/>
          <w:sz w:val="32"/>
          <w:szCs w:val="32"/>
          <w:lang w:val="en-US" w:eastAsia="zh-CN"/>
        </w:rPr>
        <w:t xml:space="preserve"> </w:t>
      </w:r>
      <w:r>
        <w:rPr>
          <w:rFonts w:hint="eastAsia" w:ascii="黑体" w:hAnsi="黑体" w:eastAsia="黑体" w:cs="Times New Roman"/>
          <w:b/>
          <w:sz w:val="32"/>
          <w:szCs w:val="32"/>
        </w:rPr>
        <w:t>评价分析。</w:t>
      </w:r>
    </w:p>
    <w:p>
      <w:pPr>
        <w:spacing w:afterAutospacing="0" w:line="578" w:lineRule="exact"/>
        <w:ind w:firstLine="643" w:firstLineChars="200"/>
        <w:jc w:val="left"/>
        <w:rPr>
          <w:rFonts w:hint="eastAsia" w:ascii="黑体" w:hAnsi="黑体" w:eastAsia="黑体" w:cs="Times New Roman"/>
          <w:b/>
          <w:sz w:val="32"/>
          <w:szCs w:val="32"/>
        </w:rPr>
      </w:pPr>
      <w:r>
        <w:rPr>
          <w:rFonts w:hint="eastAsia" w:ascii="黑体" w:hAnsi="黑体" w:eastAsia="黑体" w:cs="Times New Roman"/>
          <w:b/>
          <w:sz w:val="32"/>
          <w:szCs w:val="32"/>
        </w:rPr>
        <w:t>评价工作组运用绩效评价方法，对照指标得分情况逐条分析，形成初步结论。</w:t>
      </w:r>
    </w:p>
    <w:p>
      <w:pPr>
        <w:spacing w:before="159" w:beforeLines="50" w:beforeAutospacing="0" w:after="159" w:afterLines="50" w:afterAutospacing="0" w:line="578" w:lineRule="exact"/>
        <w:jc w:val="center"/>
        <w:rPr>
          <w:rFonts w:hint="eastAsia" w:ascii="黑体" w:hAnsi="黑体" w:eastAsia="黑体" w:cs="Times New Roman"/>
          <w:b/>
          <w:sz w:val="32"/>
          <w:szCs w:val="32"/>
          <w:lang w:eastAsia="zh-CN"/>
        </w:rPr>
      </w:pPr>
      <w:r>
        <w:rPr>
          <w:rFonts w:hint="eastAsia" w:ascii="黑体" w:hAnsi="黑体" w:eastAsia="黑体" w:cs="Times New Roman"/>
          <w:b/>
          <w:sz w:val="32"/>
          <w:szCs w:val="32"/>
        </w:rPr>
        <w:t xml:space="preserve">第五章  </w:t>
      </w:r>
      <w:r>
        <w:rPr>
          <w:rFonts w:hint="eastAsia" w:ascii="黑体" w:hAnsi="黑体" w:eastAsia="黑体" w:cs="Times New Roman"/>
          <w:b/>
          <w:sz w:val="32"/>
          <w:szCs w:val="32"/>
          <w:lang w:eastAsia="zh-CN"/>
        </w:rPr>
        <w:t>信息填报、</w:t>
      </w:r>
      <w:r>
        <w:rPr>
          <w:rFonts w:hint="eastAsia" w:ascii="黑体" w:hAnsi="黑体" w:eastAsia="黑体" w:cs="Times New Roman"/>
          <w:b/>
          <w:sz w:val="32"/>
          <w:szCs w:val="32"/>
        </w:rPr>
        <w:t>报告</w:t>
      </w:r>
      <w:r>
        <w:rPr>
          <w:rFonts w:hint="eastAsia" w:ascii="黑体" w:hAnsi="黑体" w:eastAsia="黑体" w:cs="Times New Roman"/>
          <w:b/>
          <w:sz w:val="32"/>
          <w:szCs w:val="32"/>
          <w:lang w:eastAsia="zh-CN"/>
        </w:rPr>
        <w:t>的</w:t>
      </w:r>
      <w:r>
        <w:rPr>
          <w:rFonts w:hint="eastAsia" w:ascii="黑体" w:hAnsi="黑体" w:eastAsia="黑体" w:cs="Times New Roman"/>
          <w:b/>
          <w:sz w:val="32"/>
          <w:szCs w:val="32"/>
        </w:rPr>
        <w:t>撰写</w:t>
      </w:r>
      <w:r>
        <w:rPr>
          <w:rFonts w:hint="eastAsia" w:ascii="黑体" w:hAnsi="黑体" w:eastAsia="黑体" w:cs="Times New Roman"/>
          <w:b/>
          <w:sz w:val="32"/>
          <w:szCs w:val="32"/>
          <w:lang w:eastAsia="zh-CN"/>
        </w:rPr>
        <w:t>及报送</w:t>
      </w:r>
    </w:p>
    <w:p>
      <w:pPr>
        <w:spacing w:beforeAutospacing="0" w:afterAutospacing="0" w:line="578" w:lineRule="exact"/>
        <w:ind w:firstLine="643" w:firstLineChars="200"/>
        <w:jc w:val="left"/>
        <w:rPr>
          <w:rFonts w:hint="eastAsia" w:ascii="黑体" w:hAnsi="黑体" w:eastAsia="黑体" w:cs="Times New Roman"/>
          <w:b/>
          <w:sz w:val="32"/>
          <w:szCs w:val="32"/>
        </w:rPr>
      </w:pPr>
      <w:r>
        <w:rPr>
          <w:rFonts w:hint="eastAsia" w:ascii="黑体" w:hAnsi="黑体" w:eastAsia="黑体" w:cs="Times New Roman"/>
          <w:b/>
          <w:sz w:val="32"/>
          <w:szCs w:val="32"/>
        </w:rPr>
        <w:t>第二十</w:t>
      </w:r>
      <w:r>
        <w:rPr>
          <w:rFonts w:hint="eastAsia" w:ascii="黑体" w:hAnsi="黑体" w:eastAsia="黑体" w:cs="Times New Roman"/>
          <w:b/>
          <w:sz w:val="32"/>
          <w:szCs w:val="32"/>
          <w:lang w:eastAsia="zh-CN"/>
        </w:rPr>
        <w:t>一</w:t>
      </w:r>
      <w:r>
        <w:rPr>
          <w:rFonts w:hint="eastAsia" w:ascii="黑体" w:hAnsi="黑体" w:eastAsia="黑体" w:cs="Times New Roman"/>
          <w:b/>
          <w:sz w:val="32"/>
          <w:szCs w:val="32"/>
        </w:rPr>
        <w:t>条</w:t>
      </w:r>
      <w:r>
        <w:rPr>
          <w:rFonts w:hint="eastAsia" w:ascii="黑体" w:hAnsi="黑体" w:eastAsia="黑体" w:cs="Times New Roman"/>
          <w:b/>
          <w:sz w:val="32"/>
          <w:szCs w:val="32"/>
          <w:lang w:val="en-US" w:eastAsia="zh-CN"/>
        </w:rPr>
        <w:t xml:space="preserve"> </w:t>
      </w:r>
      <w:r>
        <w:rPr>
          <w:rFonts w:hint="eastAsia" w:ascii="黑体" w:hAnsi="黑体" w:eastAsia="黑体" w:cs="Times New Roman"/>
          <w:b/>
          <w:sz w:val="32"/>
          <w:szCs w:val="32"/>
        </w:rPr>
        <w:t>评价工作组结合工作要求</w:t>
      </w:r>
      <w:r>
        <w:rPr>
          <w:rFonts w:hint="eastAsia" w:ascii="黑体" w:hAnsi="黑体" w:eastAsia="黑体" w:cs="Times New Roman"/>
          <w:b/>
          <w:sz w:val="32"/>
          <w:szCs w:val="32"/>
          <w:lang w:eastAsia="zh-CN"/>
        </w:rPr>
        <w:t>根据实际填写对应项目的绩效目标信息，包括各级指标及指标值、</w:t>
      </w:r>
      <w:r>
        <w:rPr>
          <w:rFonts w:hint="eastAsia" w:ascii="黑体" w:hAnsi="黑体" w:eastAsia="黑体" w:cs="Times New Roman"/>
          <w:b/>
          <w:sz w:val="32"/>
          <w:szCs w:val="32"/>
        </w:rPr>
        <w:t>撰写绩效评价报告</w:t>
      </w:r>
      <w:r>
        <w:rPr>
          <w:rFonts w:hint="eastAsia" w:ascii="黑体" w:hAnsi="黑体" w:eastAsia="黑体" w:cs="Times New Roman"/>
          <w:b/>
          <w:sz w:val="32"/>
          <w:szCs w:val="32"/>
          <w:lang w:eastAsia="zh-CN"/>
        </w:rPr>
        <w:t>等</w:t>
      </w:r>
      <w:r>
        <w:rPr>
          <w:rFonts w:hint="eastAsia" w:ascii="黑体" w:hAnsi="黑体" w:eastAsia="黑体" w:cs="Times New Roman"/>
          <w:b/>
          <w:sz w:val="32"/>
          <w:szCs w:val="32"/>
        </w:rPr>
        <w:t>，</w:t>
      </w:r>
      <w:r>
        <w:rPr>
          <w:rFonts w:hint="eastAsia" w:ascii="黑体" w:hAnsi="黑体" w:eastAsia="黑体" w:cs="Times New Roman"/>
          <w:b/>
          <w:sz w:val="32"/>
          <w:szCs w:val="32"/>
          <w:lang w:eastAsia="zh-CN"/>
        </w:rPr>
        <w:t>并将相关资料及报告</w:t>
      </w:r>
      <w:r>
        <w:rPr>
          <w:rFonts w:hint="eastAsia" w:ascii="黑体" w:hAnsi="黑体" w:eastAsia="黑体" w:cs="Times New Roman"/>
          <w:b/>
          <w:sz w:val="32"/>
          <w:szCs w:val="32"/>
        </w:rPr>
        <w:t>报</w:t>
      </w:r>
      <w:r>
        <w:rPr>
          <w:rFonts w:hint="eastAsia" w:ascii="黑体" w:hAnsi="黑体" w:eastAsia="黑体" w:cs="Times New Roman"/>
          <w:b/>
          <w:sz w:val="32"/>
          <w:szCs w:val="32"/>
          <w:lang w:eastAsia="zh-CN"/>
        </w:rPr>
        <w:t>单位预算绩效管理工作小组办公室即院财务科汇总，院财务科根据汇总的各类资料及评价报告按要求报南充市预算绩效管理信息系统及报送市财政局对应科室</w:t>
      </w:r>
      <w:r>
        <w:rPr>
          <w:rFonts w:hint="eastAsia" w:ascii="黑体" w:hAnsi="黑体" w:eastAsia="黑体" w:cs="Times New Roman"/>
          <w:b/>
          <w:sz w:val="32"/>
          <w:szCs w:val="32"/>
        </w:rPr>
        <w:t>。</w:t>
      </w:r>
    </w:p>
    <w:p>
      <w:pPr>
        <w:spacing w:before="159" w:beforeLines="50" w:beforeAutospacing="0" w:after="159" w:afterLines="50" w:afterAutospacing="0" w:line="578" w:lineRule="exact"/>
        <w:jc w:val="center"/>
        <w:rPr>
          <w:rFonts w:hint="eastAsia" w:ascii="黑体" w:hAnsi="黑体" w:eastAsia="黑体" w:cs="Times New Roman"/>
          <w:b/>
          <w:sz w:val="32"/>
          <w:szCs w:val="32"/>
        </w:rPr>
      </w:pPr>
      <w:r>
        <w:rPr>
          <w:rFonts w:hint="eastAsia" w:ascii="黑体" w:hAnsi="黑体" w:eastAsia="黑体" w:cs="Times New Roman"/>
          <w:b/>
          <w:sz w:val="32"/>
          <w:szCs w:val="32"/>
        </w:rPr>
        <w:t>第</w:t>
      </w:r>
      <w:r>
        <w:rPr>
          <w:rFonts w:hint="eastAsia" w:ascii="黑体" w:hAnsi="黑体" w:eastAsia="黑体" w:cs="Times New Roman"/>
          <w:b/>
          <w:sz w:val="32"/>
          <w:szCs w:val="32"/>
          <w:lang w:eastAsia="zh-CN"/>
        </w:rPr>
        <w:t>六</w:t>
      </w:r>
      <w:r>
        <w:rPr>
          <w:rFonts w:hint="eastAsia" w:ascii="黑体" w:hAnsi="黑体" w:eastAsia="黑体" w:cs="Times New Roman"/>
          <w:b/>
          <w:sz w:val="32"/>
          <w:szCs w:val="32"/>
        </w:rPr>
        <w:t>章 附</w:t>
      </w:r>
      <w:r>
        <w:rPr>
          <w:rFonts w:hint="eastAsia" w:ascii="黑体" w:hAnsi="黑体" w:eastAsia="黑体"/>
          <w:b/>
          <w:sz w:val="32"/>
          <w:szCs w:val="32"/>
        </w:rPr>
        <w:t>　</w:t>
      </w:r>
      <w:r>
        <w:rPr>
          <w:rFonts w:hint="eastAsia" w:ascii="黑体" w:hAnsi="黑体" w:eastAsia="黑体" w:cs="Times New Roman"/>
          <w:b/>
          <w:sz w:val="32"/>
          <w:szCs w:val="32"/>
        </w:rPr>
        <w:t>则</w:t>
      </w:r>
    </w:p>
    <w:p>
      <w:pPr>
        <w:spacing w:line="578" w:lineRule="exact"/>
        <w:ind w:firstLine="643" w:firstLineChars="200"/>
        <w:rPr>
          <w:rFonts w:hint="eastAsia" w:ascii="仿宋_GB2312" w:eastAsia="仿宋_GB2312"/>
          <w:b/>
          <w:sz w:val="32"/>
          <w:szCs w:val="32"/>
        </w:rPr>
      </w:pPr>
      <w:r>
        <w:rPr>
          <w:rFonts w:hint="eastAsia" w:ascii="黑体" w:hAnsi="黑体" w:eastAsia="黑体" w:cs="Times New Roman"/>
          <w:b/>
          <w:sz w:val="32"/>
          <w:szCs w:val="32"/>
        </w:rPr>
        <w:t>第</w:t>
      </w:r>
      <w:r>
        <w:rPr>
          <w:rFonts w:hint="eastAsia" w:ascii="黑体" w:hAnsi="黑体" w:eastAsia="黑体" w:cs="Times New Roman"/>
          <w:b/>
          <w:sz w:val="32"/>
          <w:szCs w:val="32"/>
          <w:lang w:eastAsia="zh-CN"/>
        </w:rPr>
        <w:t>二十二</w:t>
      </w:r>
      <w:r>
        <w:rPr>
          <w:rFonts w:hint="eastAsia" w:ascii="黑体" w:hAnsi="黑体" w:eastAsia="黑体" w:cs="Times New Roman"/>
          <w:b/>
          <w:sz w:val="32"/>
          <w:szCs w:val="32"/>
        </w:rPr>
        <w:t>条</w:t>
      </w:r>
      <w:r>
        <w:rPr>
          <w:rFonts w:hint="eastAsia" w:ascii="黑体" w:hAnsi="黑体" w:eastAsia="黑体" w:cs="Times New Roman"/>
          <w:b/>
          <w:sz w:val="32"/>
          <w:szCs w:val="32"/>
          <w:lang w:val="en-US" w:eastAsia="zh-CN"/>
        </w:rPr>
        <w:t xml:space="preserve"> </w:t>
      </w:r>
      <w:r>
        <w:rPr>
          <w:rFonts w:hint="eastAsia" w:ascii="黑体" w:hAnsi="黑体" w:eastAsia="黑体" w:cs="Times New Roman"/>
          <w:b/>
          <w:sz w:val="32"/>
          <w:szCs w:val="32"/>
        </w:rPr>
        <w:t>本操作规程自发布之日起施行。</w:t>
      </w:r>
    </w:p>
    <w:p>
      <w:pPr>
        <w:spacing w:line="578" w:lineRule="exact"/>
        <w:ind w:firstLine="643" w:firstLineChars="200"/>
        <w:jc w:val="left"/>
        <w:rPr>
          <w:rFonts w:hint="eastAsia" w:ascii="黑体" w:hAnsi="黑体" w:eastAsia="黑体" w:cs="Times New Roman"/>
          <w:b/>
          <w:sz w:val="32"/>
          <w:szCs w:val="32"/>
        </w:rPr>
      </w:pPr>
    </w:p>
    <w:p>
      <w:pPr>
        <w:jc w:val="left"/>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10" w:usb3="00000000" w:csb0="00040000" w:csb1="00000000"/>
  </w:font>
  <w:font w:name="方正仿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2F7C4B"/>
    <w:rsid w:val="01FE58EB"/>
    <w:rsid w:val="050E7EEB"/>
    <w:rsid w:val="059E1914"/>
    <w:rsid w:val="05F00CA7"/>
    <w:rsid w:val="09C4086F"/>
    <w:rsid w:val="0B0D7ED1"/>
    <w:rsid w:val="0D416AF3"/>
    <w:rsid w:val="140F2086"/>
    <w:rsid w:val="16D451C7"/>
    <w:rsid w:val="18EB0233"/>
    <w:rsid w:val="19276F98"/>
    <w:rsid w:val="19590711"/>
    <w:rsid w:val="257E03AB"/>
    <w:rsid w:val="2859279A"/>
    <w:rsid w:val="28617A70"/>
    <w:rsid w:val="28FF7514"/>
    <w:rsid w:val="291A4E8C"/>
    <w:rsid w:val="2B2F7C4B"/>
    <w:rsid w:val="2D00723A"/>
    <w:rsid w:val="2D4B0388"/>
    <w:rsid w:val="2D8E22D1"/>
    <w:rsid w:val="2DA43177"/>
    <w:rsid w:val="2DFB2944"/>
    <w:rsid w:val="324F335E"/>
    <w:rsid w:val="387B4569"/>
    <w:rsid w:val="39C100E5"/>
    <w:rsid w:val="3B64448B"/>
    <w:rsid w:val="3FD73C70"/>
    <w:rsid w:val="40943235"/>
    <w:rsid w:val="414158FA"/>
    <w:rsid w:val="438B3344"/>
    <w:rsid w:val="473855A5"/>
    <w:rsid w:val="48A56B13"/>
    <w:rsid w:val="48D97979"/>
    <w:rsid w:val="4AFA5C57"/>
    <w:rsid w:val="4B1A1FC6"/>
    <w:rsid w:val="4F2813BF"/>
    <w:rsid w:val="52E04014"/>
    <w:rsid w:val="571225E7"/>
    <w:rsid w:val="59152DC8"/>
    <w:rsid w:val="593D05D0"/>
    <w:rsid w:val="5D323FC2"/>
    <w:rsid w:val="5F904A26"/>
    <w:rsid w:val="60586445"/>
    <w:rsid w:val="61847736"/>
    <w:rsid w:val="65C375BA"/>
    <w:rsid w:val="6AF723A7"/>
    <w:rsid w:val="6C981401"/>
    <w:rsid w:val="6CB35D8A"/>
    <w:rsid w:val="6F2768F4"/>
    <w:rsid w:val="72894E6C"/>
    <w:rsid w:val="732D502D"/>
    <w:rsid w:val="764E7192"/>
    <w:rsid w:val="76DC5929"/>
    <w:rsid w:val="77CC339C"/>
    <w:rsid w:val="78186147"/>
    <w:rsid w:val="797A48CF"/>
    <w:rsid w:val="7C3D7571"/>
    <w:rsid w:val="7CDC13FD"/>
    <w:rsid w:val="7DE060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0"/>
      <w:sz w:val="24"/>
      <w:szCs w:val="24"/>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8">
    <w:name w:val="Strong"/>
    <w:basedOn w:val="7"/>
    <w:qFormat/>
    <w:uiPriority w:val="0"/>
    <w:rPr>
      <w:b/>
    </w:rPr>
  </w:style>
  <w:style w:type="character" w:styleId="9">
    <w:name w:val="FollowedHyperlink"/>
    <w:basedOn w:val="7"/>
    <w:qFormat/>
    <w:uiPriority w:val="0"/>
    <w:rPr>
      <w:color w:val="000000"/>
      <w:u w:val="none"/>
    </w:rPr>
  </w:style>
  <w:style w:type="character" w:styleId="10">
    <w:name w:val="Emphasis"/>
    <w:basedOn w:val="7"/>
    <w:qFormat/>
    <w:uiPriority w:val="0"/>
  </w:style>
  <w:style w:type="character" w:styleId="11">
    <w:name w:val="Hyperlink"/>
    <w:basedOn w:val="7"/>
    <w:qFormat/>
    <w:uiPriority w:val="0"/>
    <w:rPr>
      <w:color w:val="000000"/>
      <w:u w:val="none"/>
    </w:rPr>
  </w:style>
  <w:style w:type="character" w:styleId="12">
    <w:name w:val="HTML Code"/>
    <w:basedOn w:val="7"/>
    <w:qFormat/>
    <w:uiPriority w:val="0"/>
    <w:rPr>
      <w:rFonts w:ascii="Courier New" w:hAnsi="Courier New"/>
      <w:sz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2020-12-03T09:52:00Z</dcterms:created>
  <dc:creator>晴悾萬李1407138496</dc:creator>
  <cp:lastModifiedBy>Ethan</cp:lastModifiedBy>
  <dcterms:modified xsi:type="dcterms:W3CDTF">2021-12-09T03:21:37Z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9966A675C3064D11B5774AFA67DE9DAE</vt:lpwstr>
  </property>
</Properties>
</file>